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44" w:rsidRPr="0012756C" w:rsidRDefault="00F30C44" w:rsidP="00F30C44">
      <w:pPr>
        <w:jc w:val="center"/>
        <w:rPr>
          <w:b/>
          <w:sz w:val="19"/>
          <w:szCs w:val="19"/>
        </w:rPr>
      </w:pPr>
      <w:r w:rsidRPr="0012756C">
        <w:rPr>
          <w:b/>
          <w:sz w:val="19"/>
          <w:szCs w:val="19"/>
        </w:rPr>
        <w:t xml:space="preserve">ПОВІДОМЛЕННЯ ПРО ПРОВЕДЕННЯ РІЧНИХ ЗАГАЛЬНИХ ЗБОРІВ АКЦІОНЕРІВ </w:t>
      </w:r>
    </w:p>
    <w:p w:rsidR="00F30C44" w:rsidRPr="0012756C" w:rsidRDefault="00F30C44" w:rsidP="00F30C44">
      <w:pPr>
        <w:jc w:val="center"/>
        <w:rPr>
          <w:b/>
          <w:sz w:val="19"/>
          <w:szCs w:val="19"/>
        </w:rPr>
      </w:pPr>
      <w:r>
        <w:rPr>
          <w:b/>
          <w:sz w:val="19"/>
          <w:szCs w:val="19"/>
        </w:rPr>
        <w:t>ПРИВАТНОГО АКЦІОНЕРНОГО ТОВАРИСТВА «ВЕЛИКОМИХАЙЛІВСЬКЕ АВТОТРАНСПОРТНЕ ПІДПРИЄМСТВО 15141»</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2973"/>
        <w:gridCol w:w="7113"/>
      </w:tblGrid>
      <w:tr w:rsidR="00F30C44" w:rsidRPr="00B96235" w:rsidTr="00B96235">
        <w:tc>
          <w:tcPr>
            <w:tcW w:w="3261"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rPr>
                <w:color w:val="000000"/>
                <w:sz w:val="18"/>
                <w:szCs w:val="18"/>
              </w:rPr>
            </w:pPr>
            <w:r w:rsidRPr="00B96235">
              <w:rPr>
                <w:color w:val="000000"/>
                <w:sz w:val="18"/>
                <w:szCs w:val="18"/>
              </w:rPr>
              <w:t>Повне найменування:</w:t>
            </w:r>
          </w:p>
          <w:p w:rsidR="00F30C44" w:rsidRPr="00B96235" w:rsidRDefault="00F30C44" w:rsidP="00E50C20">
            <w:pPr>
              <w:rPr>
                <w:color w:val="000000"/>
                <w:sz w:val="18"/>
                <w:szCs w:val="18"/>
              </w:rPr>
            </w:pPr>
          </w:p>
          <w:p w:rsidR="00F30C44" w:rsidRPr="00B96235" w:rsidRDefault="00F30C44" w:rsidP="00E50C20">
            <w:pPr>
              <w:rPr>
                <w:color w:val="000000"/>
                <w:sz w:val="18"/>
                <w:szCs w:val="18"/>
              </w:rPr>
            </w:pPr>
            <w:r w:rsidRPr="00B96235">
              <w:rPr>
                <w:color w:val="000000"/>
                <w:sz w:val="18"/>
                <w:szCs w:val="18"/>
              </w:rPr>
              <w:t>місцезнаходження Товариства:</w:t>
            </w:r>
          </w:p>
        </w:tc>
        <w:tc>
          <w:tcPr>
            <w:tcW w:w="8079" w:type="dxa"/>
            <w:tcBorders>
              <w:top w:val="single" w:sz="4" w:space="0" w:color="auto"/>
              <w:left w:val="single" w:sz="4" w:space="0" w:color="auto"/>
              <w:bottom w:val="single" w:sz="4" w:space="0" w:color="auto"/>
              <w:right w:val="single" w:sz="4" w:space="0" w:color="auto"/>
            </w:tcBorders>
          </w:tcPr>
          <w:p w:rsidR="00F30C44" w:rsidRPr="00B96235" w:rsidRDefault="00F30C44" w:rsidP="00E50C20">
            <w:pPr>
              <w:jc w:val="center"/>
              <w:rPr>
                <w:b/>
                <w:sz w:val="18"/>
                <w:szCs w:val="18"/>
              </w:rPr>
            </w:pPr>
            <w:r w:rsidRPr="00B96235">
              <w:rPr>
                <w:b/>
                <w:sz w:val="18"/>
                <w:szCs w:val="18"/>
              </w:rPr>
              <w:t>ПРИВАТНЕ АКЦІОНЕРНЕ ТОВАРИСТВО «ВЕЛИКОМИХАЙЛІВСЬКЕ АВТОТРАНСПОРТНЕ ПІДПРИЄМСТВО 15141»</w:t>
            </w:r>
          </w:p>
          <w:p w:rsidR="00F30C44" w:rsidRPr="00B96235" w:rsidRDefault="00F30C44" w:rsidP="00E50C20">
            <w:pPr>
              <w:jc w:val="center"/>
              <w:rPr>
                <w:color w:val="000000"/>
                <w:sz w:val="18"/>
                <w:szCs w:val="18"/>
              </w:rPr>
            </w:pPr>
            <w:r w:rsidRPr="00B96235">
              <w:rPr>
                <w:color w:val="000000"/>
                <w:sz w:val="18"/>
                <w:szCs w:val="18"/>
              </w:rPr>
              <w:t xml:space="preserve">67100, вул. Леніна, б.4, </w:t>
            </w:r>
            <w:proofErr w:type="spellStart"/>
            <w:r w:rsidRPr="00B96235">
              <w:rPr>
                <w:color w:val="000000"/>
                <w:sz w:val="18"/>
                <w:szCs w:val="18"/>
              </w:rPr>
              <w:t>смт</w:t>
            </w:r>
            <w:proofErr w:type="spellEnd"/>
            <w:r w:rsidRPr="00B96235">
              <w:rPr>
                <w:color w:val="000000"/>
                <w:sz w:val="18"/>
                <w:szCs w:val="18"/>
              </w:rPr>
              <w:t xml:space="preserve"> Велика </w:t>
            </w:r>
            <w:proofErr w:type="spellStart"/>
            <w:r w:rsidRPr="00B96235">
              <w:rPr>
                <w:color w:val="000000"/>
                <w:sz w:val="18"/>
                <w:szCs w:val="18"/>
              </w:rPr>
              <w:t>Михайлівка</w:t>
            </w:r>
            <w:proofErr w:type="spellEnd"/>
            <w:r w:rsidRPr="00B96235">
              <w:rPr>
                <w:color w:val="000000"/>
                <w:sz w:val="18"/>
                <w:szCs w:val="18"/>
              </w:rPr>
              <w:t xml:space="preserve">, </w:t>
            </w:r>
            <w:proofErr w:type="spellStart"/>
            <w:r w:rsidRPr="00B96235">
              <w:rPr>
                <w:color w:val="000000"/>
                <w:sz w:val="18"/>
                <w:szCs w:val="18"/>
              </w:rPr>
              <w:t>Великомихайлівський</w:t>
            </w:r>
            <w:proofErr w:type="spellEnd"/>
            <w:r w:rsidRPr="00B96235">
              <w:rPr>
                <w:color w:val="000000"/>
                <w:sz w:val="18"/>
                <w:szCs w:val="18"/>
              </w:rPr>
              <w:t xml:space="preserve"> район, Одеська область</w:t>
            </w:r>
          </w:p>
        </w:tc>
      </w:tr>
      <w:tr w:rsidR="00F30C44" w:rsidRPr="00B96235" w:rsidTr="00B96235">
        <w:tc>
          <w:tcPr>
            <w:tcW w:w="3261"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rPr>
                <w:color w:val="000000"/>
                <w:sz w:val="18"/>
                <w:szCs w:val="18"/>
              </w:rPr>
            </w:pPr>
            <w:r w:rsidRPr="00B96235">
              <w:rPr>
                <w:color w:val="000000"/>
                <w:sz w:val="18"/>
                <w:szCs w:val="18"/>
              </w:rPr>
              <w:t>Дата, час та місце (із зазначенням номера кімнати, офісу або залу, куди мають прибути акціонери) проведення загальних зборів</w:t>
            </w:r>
          </w:p>
        </w:tc>
        <w:tc>
          <w:tcPr>
            <w:tcW w:w="8079"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jc w:val="center"/>
              <w:rPr>
                <w:color w:val="000000"/>
                <w:sz w:val="18"/>
                <w:szCs w:val="18"/>
              </w:rPr>
            </w:pPr>
            <w:r w:rsidRPr="00B96235">
              <w:rPr>
                <w:color w:val="000000"/>
                <w:sz w:val="18"/>
                <w:szCs w:val="18"/>
                <w:lang w:val="ru-RU"/>
              </w:rPr>
              <w:t>28</w:t>
            </w:r>
            <w:r w:rsidRPr="00B96235">
              <w:rPr>
                <w:color w:val="000000"/>
                <w:sz w:val="18"/>
                <w:szCs w:val="18"/>
              </w:rPr>
              <w:t xml:space="preserve"> квітня 201</w:t>
            </w:r>
            <w:r w:rsidRPr="00B96235">
              <w:rPr>
                <w:color w:val="000000"/>
                <w:sz w:val="18"/>
                <w:szCs w:val="18"/>
                <w:lang w:val="ru-RU"/>
              </w:rPr>
              <w:t>7</w:t>
            </w:r>
            <w:r w:rsidRPr="00B96235">
              <w:rPr>
                <w:color w:val="000000"/>
                <w:sz w:val="18"/>
                <w:szCs w:val="18"/>
              </w:rPr>
              <w:t xml:space="preserve"> року о 15:00 за адресою: Одеська область, </w:t>
            </w:r>
            <w:proofErr w:type="spellStart"/>
            <w:r w:rsidRPr="00B96235">
              <w:rPr>
                <w:color w:val="000000"/>
                <w:sz w:val="18"/>
                <w:szCs w:val="18"/>
              </w:rPr>
              <w:t>Великомихайлівський</w:t>
            </w:r>
            <w:proofErr w:type="spellEnd"/>
            <w:r w:rsidRPr="00B96235">
              <w:rPr>
                <w:color w:val="000000"/>
                <w:sz w:val="18"/>
                <w:szCs w:val="18"/>
              </w:rPr>
              <w:t xml:space="preserve"> район, </w:t>
            </w:r>
            <w:proofErr w:type="spellStart"/>
            <w:r w:rsidRPr="00B96235">
              <w:rPr>
                <w:color w:val="000000"/>
                <w:sz w:val="18"/>
                <w:szCs w:val="18"/>
              </w:rPr>
              <w:t>смт</w:t>
            </w:r>
            <w:proofErr w:type="spellEnd"/>
            <w:r w:rsidRPr="00B96235">
              <w:rPr>
                <w:color w:val="000000"/>
                <w:sz w:val="18"/>
                <w:szCs w:val="18"/>
              </w:rPr>
              <w:t xml:space="preserve">. Велика </w:t>
            </w:r>
            <w:proofErr w:type="spellStart"/>
            <w:r w:rsidRPr="00B96235">
              <w:rPr>
                <w:color w:val="000000"/>
                <w:sz w:val="18"/>
                <w:szCs w:val="18"/>
              </w:rPr>
              <w:t>Михайлівка</w:t>
            </w:r>
            <w:proofErr w:type="spellEnd"/>
            <w:r w:rsidRPr="00B96235">
              <w:rPr>
                <w:color w:val="000000"/>
                <w:sz w:val="18"/>
                <w:szCs w:val="18"/>
              </w:rPr>
              <w:t xml:space="preserve">, вул. Леніна, б.4, відбудуться загальні збори акціонерів  в </w:t>
            </w:r>
            <w:r w:rsidRPr="00B96235">
              <w:rPr>
                <w:sz w:val="18"/>
                <w:szCs w:val="18"/>
              </w:rPr>
              <w:t xml:space="preserve">кабінет № </w:t>
            </w:r>
            <w:r w:rsidRPr="00B96235">
              <w:rPr>
                <w:sz w:val="18"/>
                <w:szCs w:val="18"/>
                <w:lang w:val="ru-RU"/>
              </w:rPr>
              <w:t>1</w:t>
            </w:r>
            <w:r w:rsidRPr="00B96235">
              <w:rPr>
                <w:sz w:val="18"/>
                <w:szCs w:val="18"/>
              </w:rPr>
              <w:t xml:space="preserve"> диспетчера  на 1-</w:t>
            </w:r>
            <w:proofErr w:type="spellStart"/>
            <w:r w:rsidRPr="00B96235">
              <w:rPr>
                <w:sz w:val="18"/>
                <w:szCs w:val="18"/>
                <w:lang w:val="ru-RU"/>
              </w:rPr>
              <w:t>му</w:t>
            </w:r>
            <w:proofErr w:type="spellEnd"/>
            <w:r w:rsidRPr="00B96235">
              <w:rPr>
                <w:sz w:val="18"/>
                <w:szCs w:val="18"/>
              </w:rPr>
              <w:t xml:space="preserve"> </w:t>
            </w:r>
            <w:proofErr w:type="spellStart"/>
            <w:r w:rsidRPr="00B96235">
              <w:rPr>
                <w:sz w:val="18"/>
                <w:szCs w:val="18"/>
                <w:lang w:val="ru-RU"/>
              </w:rPr>
              <w:t>поверс</w:t>
            </w:r>
            <w:proofErr w:type="spellEnd"/>
            <w:r w:rsidRPr="00B96235">
              <w:rPr>
                <w:sz w:val="18"/>
                <w:szCs w:val="18"/>
              </w:rPr>
              <w:t xml:space="preserve">і </w:t>
            </w:r>
            <w:proofErr w:type="spellStart"/>
            <w:r w:rsidRPr="00B96235">
              <w:rPr>
                <w:sz w:val="18"/>
                <w:szCs w:val="18"/>
              </w:rPr>
              <w:t>адмінбудівлі</w:t>
            </w:r>
            <w:proofErr w:type="spellEnd"/>
            <w:r w:rsidRPr="00B96235">
              <w:rPr>
                <w:sz w:val="18"/>
                <w:szCs w:val="18"/>
              </w:rPr>
              <w:t xml:space="preserve"> </w:t>
            </w:r>
          </w:p>
          <w:p w:rsidR="00F30C44" w:rsidRPr="00B96235" w:rsidRDefault="00F30C44" w:rsidP="00E50C20">
            <w:pPr>
              <w:jc w:val="center"/>
              <w:rPr>
                <w:color w:val="000000"/>
                <w:sz w:val="18"/>
                <w:szCs w:val="18"/>
              </w:rPr>
            </w:pPr>
          </w:p>
        </w:tc>
      </w:tr>
      <w:tr w:rsidR="00F30C44" w:rsidRPr="00B96235" w:rsidTr="00B96235">
        <w:tc>
          <w:tcPr>
            <w:tcW w:w="3261"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rPr>
                <w:color w:val="000000"/>
                <w:sz w:val="18"/>
                <w:szCs w:val="18"/>
              </w:rPr>
            </w:pPr>
            <w:r w:rsidRPr="00B96235">
              <w:rPr>
                <w:color w:val="000000"/>
                <w:sz w:val="18"/>
                <w:szCs w:val="18"/>
              </w:rPr>
              <w:t>Час початку і закінчення реєстрації акціонерів для участі у загальних зборах</w:t>
            </w:r>
          </w:p>
        </w:tc>
        <w:tc>
          <w:tcPr>
            <w:tcW w:w="8079"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jc w:val="center"/>
              <w:rPr>
                <w:color w:val="000000"/>
                <w:sz w:val="18"/>
                <w:szCs w:val="18"/>
              </w:rPr>
            </w:pPr>
            <w:r w:rsidRPr="00B96235">
              <w:rPr>
                <w:color w:val="000000"/>
                <w:sz w:val="18"/>
                <w:szCs w:val="18"/>
              </w:rPr>
              <w:t>Час початку реєстрації акціонерів - 14:30.</w:t>
            </w:r>
          </w:p>
          <w:p w:rsidR="00F30C44" w:rsidRPr="00B96235" w:rsidRDefault="00F30C44" w:rsidP="00E50C20">
            <w:pPr>
              <w:jc w:val="center"/>
              <w:rPr>
                <w:color w:val="000000"/>
                <w:sz w:val="18"/>
                <w:szCs w:val="18"/>
              </w:rPr>
            </w:pPr>
            <w:r w:rsidRPr="00B96235">
              <w:rPr>
                <w:color w:val="000000"/>
                <w:sz w:val="18"/>
                <w:szCs w:val="18"/>
              </w:rPr>
              <w:t>Час закінчення реєстрації акціонерів - 14:55.</w:t>
            </w:r>
          </w:p>
        </w:tc>
      </w:tr>
      <w:tr w:rsidR="00F30C44" w:rsidRPr="00B96235" w:rsidTr="00B96235">
        <w:tc>
          <w:tcPr>
            <w:tcW w:w="3261"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rPr>
                <w:color w:val="000000"/>
                <w:sz w:val="18"/>
                <w:szCs w:val="18"/>
              </w:rPr>
            </w:pPr>
            <w:r w:rsidRPr="00B96235">
              <w:rPr>
                <w:color w:val="000000"/>
                <w:sz w:val="18"/>
                <w:szCs w:val="18"/>
              </w:rPr>
              <w:t>Дата складення переліку акціонерів, які мають право на участь у загальних зборах:</w:t>
            </w:r>
          </w:p>
        </w:tc>
        <w:tc>
          <w:tcPr>
            <w:tcW w:w="8079"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jc w:val="center"/>
              <w:rPr>
                <w:color w:val="000000"/>
                <w:sz w:val="18"/>
                <w:szCs w:val="18"/>
              </w:rPr>
            </w:pPr>
            <w:r w:rsidRPr="00B96235">
              <w:rPr>
                <w:color w:val="000000"/>
                <w:sz w:val="18"/>
                <w:szCs w:val="18"/>
              </w:rPr>
              <w:t>24 квітня 201</w:t>
            </w:r>
            <w:r w:rsidRPr="00B96235">
              <w:rPr>
                <w:color w:val="000000"/>
                <w:sz w:val="18"/>
                <w:szCs w:val="18"/>
                <w:lang w:val="en-US"/>
              </w:rPr>
              <w:t>7</w:t>
            </w:r>
            <w:r w:rsidRPr="00B96235">
              <w:rPr>
                <w:color w:val="000000"/>
                <w:sz w:val="18"/>
                <w:szCs w:val="18"/>
              </w:rPr>
              <w:t xml:space="preserve"> року</w:t>
            </w:r>
          </w:p>
        </w:tc>
      </w:tr>
      <w:tr w:rsidR="00F30C44" w:rsidRPr="00B96235" w:rsidTr="00B96235">
        <w:trPr>
          <w:trHeight w:val="463"/>
        </w:trPr>
        <w:tc>
          <w:tcPr>
            <w:tcW w:w="3261"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rPr>
                <w:sz w:val="18"/>
                <w:szCs w:val="18"/>
              </w:rPr>
            </w:pPr>
            <w:r w:rsidRPr="00B96235">
              <w:rPr>
                <w:sz w:val="18"/>
                <w:szCs w:val="18"/>
              </w:rPr>
              <w:t>Перелік питань, що виносяться на голосування, згідно з проектом порядку денного:</w:t>
            </w:r>
          </w:p>
          <w:p w:rsidR="00F30C44" w:rsidRPr="00B96235" w:rsidRDefault="00F30C44" w:rsidP="00E50C20">
            <w:pPr>
              <w:rPr>
                <w:color w:val="000000"/>
                <w:sz w:val="18"/>
                <w:szCs w:val="18"/>
              </w:rPr>
            </w:pPr>
          </w:p>
        </w:tc>
        <w:tc>
          <w:tcPr>
            <w:tcW w:w="8079"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pStyle w:val="a3"/>
              <w:numPr>
                <w:ilvl w:val="0"/>
                <w:numId w:val="1"/>
              </w:numPr>
              <w:tabs>
                <w:tab w:val="left" w:pos="-129"/>
                <w:tab w:val="left" w:pos="154"/>
              </w:tabs>
              <w:spacing w:after="0" w:line="240" w:lineRule="auto"/>
              <w:ind w:left="-26" w:firstLine="0"/>
              <w:jc w:val="both"/>
              <w:rPr>
                <w:rFonts w:ascii="Times New Roman" w:hAnsi="Times New Roman"/>
                <w:sz w:val="18"/>
                <w:szCs w:val="18"/>
                <w:lang w:val="uk-UA"/>
              </w:rPr>
            </w:pPr>
            <w:r w:rsidRPr="00B96235">
              <w:rPr>
                <w:rFonts w:ascii="Times New Roman" w:hAnsi="Times New Roman"/>
                <w:sz w:val="18"/>
                <w:szCs w:val="18"/>
                <w:lang w:val="uk-UA"/>
              </w:rPr>
              <w:t>Обрання Голови та членів лічильної комісії, прийняття рішення про припинення їх повноважень.</w:t>
            </w:r>
            <w:r w:rsidRPr="00B96235">
              <w:rPr>
                <w:rFonts w:ascii="Times New Roman" w:hAnsi="Times New Roman"/>
                <w:color w:val="FF0000"/>
                <w:sz w:val="18"/>
                <w:szCs w:val="18"/>
                <w:lang w:val="uk-UA"/>
              </w:rPr>
              <w:t xml:space="preserve"> </w:t>
            </w:r>
            <w:r w:rsidRPr="00B96235">
              <w:rPr>
                <w:rFonts w:ascii="Times New Roman" w:hAnsi="Times New Roman"/>
                <w:sz w:val="18"/>
                <w:szCs w:val="18"/>
                <w:lang w:val="uk-UA"/>
              </w:rPr>
              <w:t xml:space="preserve">Обрання голови та секретаря річних загальних зборів акціонерів. Прийняття рішень з питань проведення річних загальних </w:t>
            </w:r>
            <w:proofErr w:type="spellStart"/>
            <w:r w:rsidRPr="00B96235">
              <w:rPr>
                <w:rFonts w:ascii="Times New Roman" w:hAnsi="Times New Roman"/>
                <w:sz w:val="18"/>
                <w:szCs w:val="18"/>
                <w:lang w:val="uk-UA"/>
              </w:rPr>
              <w:t>збор</w:t>
            </w:r>
            <w:r w:rsidRPr="00B96235">
              <w:rPr>
                <w:rFonts w:ascii="Times New Roman" w:hAnsi="Times New Roman"/>
                <w:sz w:val="18"/>
                <w:szCs w:val="18"/>
              </w:rPr>
              <w:t>ів</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акціонерів</w:t>
            </w:r>
            <w:proofErr w:type="spellEnd"/>
            <w:r w:rsidRPr="00B96235">
              <w:rPr>
                <w:rFonts w:ascii="Times New Roman" w:hAnsi="Times New Roman"/>
                <w:sz w:val="18"/>
                <w:szCs w:val="18"/>
              </w:rPr>
              <w:t>.</w:t>
            </w:r>
            <w:r w:rsidRPr="00B96235">
              <w:rPr>
                <w:rFonts w:ascii="Times New Roman" w:hAnsi="Times New Roman"/>
                <w:color w:val="FF0000"/>
                <w:sz w:val="18"/>
                <w:szCs w:val="18"/>
              </w:rPr>
              <w:t xml:space="preserve"> </w:t>
            </w:r>
            <w:proofErr w:type="spellStart"/>
            <w:r w:rsidRPr="00B96235">
              <w:rPr>
                <w:rFonts w:ascii="Times New Roman" w:hAnsi="Times New Roman"/>
                <w:sz w:val="18"/>
                <w:szCs w:val="18"/>
                <w:shd w:val="clear" w:color="auto" w:fill="FFFFFF"/>
              </w:rPr>
              <w:t>Затвердження</w:t>
            </w:r>
            <w:proofErr w:type="spellEnd"/>
            <w:r w:rsidRPr="00B96235">
              <w:rPr>
                <w:rFonts w:ascii="Times New Roman" w:hAnsi="Times New Roman"/>
                <w:sz w:val="18"/>
                <w:szCs w:val="18"/>
                <w:shd w:val="clear" w:color="auto" w:fill="FFFFFF"/>
              </w:rPr>
              <w:t xml:space="preserve"> порядку та способу </w:t>
            </w:r>
            <w:proofErr w:type="spellStart"/>
            <w:r w:rsidRPr="00B96235">
              <w:rPr>
                <w:rFonts w:ascii="Times New Roman" w:hAnsi="Times New Roman"/>
                <w:sz w:val="18"/>
                <w:szCs w:val="18"/>
                <w:shd w:val="clear" w:color="auto" w:fill="FFFFFF"/>
              </w:rPr>
              <w:t>засвідчення</w:t>
            </w:r>
            <w:proofErr w:type="spellEnd"/>
            <w:r w:rsidRPr="00B96235">
              <w:rPr>
                <w:rFonts w:ascii="Times New Roman" w:hAnsi="Times New Roman"/>
                <w:sz w:val="18"/>
                <w:szCs w:val="18"/>
                <w:shd w:val="clear" w:color="auto" w:fill="FFFFFF"/>
              </w:rPr>
              <w:t xml:space="preserve"> </w:t>
            </w:r>
            <w:proofErr w:type="spellStart"/>
            <w:r w:rsidRPr="00B96235">
              <w:rPr>
                <w:rFonts w:ascii="Times New Roman" w:hAnsi="Times New Roman"/>
                <w:sz w:val="18"/>
                <w:szCs w:val="18"/>
                <w:shd w:val="clear" w:color="auto" w:fill="FFFFFF"/>
              </w:rPr>
              <w:t>бюлетенів</w:t>
            </w:r>
            <w:proofErr w:type="spellEnd"/>
            <w:r w:rsidRPr="00B96235">
              <w:rPr>
                <w:rFonts w:ascii="Times New Roman" w:hAnsi="Times New Roman"/>
                <w:sz w:val="18"/>
                <w:szCs w:val="18"/>
                <w:shd w:val="clear" w:color="auto" w:fill="FFFFFF"/>
              </w:rPr>
              <w:t xml:space="preserve"> для </w:t>
            </w:r>
            <w:proofErr w:type="spellStart"/>
            <w:r w:rsidRPr="00B96235">
              <w:rPr>
                <w:rFonts w:ascii="Times New Roman" w:hAnsi="Times New Roman"/>
                <w:sz w:val="18"/>
                <w:szCs w:val="18"/>
                <w:shd w:val="clear" w:color="auto" w:fill="FFFFFF"/>
              </w:rPr>
              <w:t>голосування</w:t>
            </w:r>
            <w:proofErr w:type="spellEnd"/>
            <w:r w:rsidRPr="00B96235">
              <w:rPr>
                <w:rFonts w:ascii="Times New Roman" w:hAnsi="Times New Roman"/>
                <w:sz w:val="18"/>
                <w:szCs w:val="18"/>
                <w:shd w:val="clear" w:color="auto" w:fill="FFFFFF"/>
              </w:rPr>
              <w:t xml:space="preserve"> на </w:t>
            </w:r>
            <w:proofErr w:type="spellStart"/>
            <w:r w:rsidRPr="00B96235">
              <w:rPr>
                <w:rFonts w:ascii="Times New Roman" w:hAnsi="Times New Roman"/>
                <w:sz w:val="18"/>
                <w:szCs w:val="18"/>
                <w:shd w:val="clear" w:color="auto" w:fill="FFFFFF"/>
              </w:rPr>
              <w:t>загальних</w:t>
            </w:r>
            <w:proofErr w:type="spellEnd"/>
            <w:r w:rsidRPr="00B96235">
              <w:rPr>
                <w:rFonts w:ascii="Times New Roman" w:hAnsi="Times New Roman"/>
                <w:sz w:val="18"/>
                <w:szCs w:val="18"/>
                <w:shd w:val="clear" w:color="auto" w:fill="FFFFFF"/>
              </w:rPr>
              <w:t xml:space="preserve"> </w:t>
            </w:r>
            <w:proofErr w:type="spellStart"/>
            <w:r w:rsidRPr="00B96235">
              <w:rPr>
                <w:rFonts w:ascii="Times New Roman" w:hAnsi="Times New Roman"/>
                <w:sz w:val="18"/>
                <w:szCs w:val="18"/>
                <w:shd w:val="clear" w:color="auto" w:fill="FFFFFF"/>
              </w:rPr>
              <w:t>зборах</w:t>
            </w:r>
            <w:proofErr w:type="spellEnd"/>
            <w:r w:rsidRPr="00B96235">
              <w:rPr>
                <w:rFonts w:ascii="Times New Roman" w:hAnsi="Times New Roman"/>
                <w:sz w:val="18"/>
                <w:szCs w:val="18"/>
                <w:shd w:val="clear" w:color="auto" w:fill="FFFFFF"/>
              </w:rPr>
              <w:t xml:space="preserve"> </w:t>
            </w:r>
            <w:proofErr w:type="spellStart"/>
            <w:r w:rsidRPr="00B96235">
              <w:rPr>
                <w:rFonts w:ascii="Times New Roman" w:hAnsi="Times New Roman"/>
                <w:sz w:val="18"/>
                <w:szCs w:val="18"/>
                <w:shd w:val="clear" w:color="auto" w:fill="FFFFFF"/>
              </w:rPr>
              <w:t>акціонері</w:t>
            </w:r>
            <w:proofErr w:type="gramStart"/>
            <w:r w:rsidRPr="00B96235">
              <w:rPr>
                <w:rFonts w:ascii="Times New Roman" w:hAnsi="Times New Roman"/>
                <w:sz w:val="18"/>
                <w:szCs w:val="18"/>
                <w:shd w:val="clear" w:color="auto" w:fill="FFFFFF"/>
              </w:rPr>
              <w:t>в</w:t>
            </w:r>
            <w:proofErr w:type="spellEnd"/>
            <w:proofErr w:type="gramEnd"/>
            <w:r w:rsidRPr="00B96235">
              <w:rPr>
                <w:rFonts w:ascii="Times New Roman" w:hAnsi="Times New Roman"/>
                <w:sz w:val="18"/>
                <w:szCs w:val="18"/>
                <w:shd w:val="clear" w:color="auto" w:fill="FFFFFF"/>
              </w:rPr>
              <w:t>.</w:t>
            </w:r>
          </w:p>
          <w:p w:rsidR="00E90EFB" w:rsidRPr="00B96235" w:rsidRDefault="00E90EFB" w:rsidP="00E90EFB">
            <w:pPr>
              <w:ind w:firstLine="426"/>
              <w:jc w:val="both"/>
              <w:rPr>
                <w:bCs/>
                <w:sz w:val="18"/>
                <w:szCs w:val="18"/>
              </w:rPr>
            </w:pPr>
            <w:r w:rsidRPr="00B96235">
              <w:rPr>
                <w:b/>
                <w:sz w:val="18"/>
                <w:szCs w:val="18"/>
              </w:rPr>
              <w:t>Проект рішення:</w:t>
            </w:r>
            <w:r w:rsidRPr="00B96235">
              <w:rPr>
                <w:sz w:val="18"/>
                <w:szCs w:val="18"/>
              </w:rPr>
              <w:t xml:space="preserve"> Обрати лічильну комісію: Голова лічильної комісії </w:t>
            </w:r>
            <w:proofErr w:type="spellStart"/>
            <w:r w:rsidR="00DF5929" w:rsidRPr="00B96235">
              <w:rPr>
                <w:sz w:val="18"/>
                <w:szCs w:val="18"/>
              </w:rPr>
              <w:t>Беца</w:t>
            </w:r>
            <w:proofErr w:type="spellEnd"/>
            <w:r w:rsidR="00DF5929" w:rsidRPr="00B96235">
              <w:rPr>
                <w:sz w:val="18"/>
                <w:szCs w:val="18"/>
              </w:rPr>
              <w:t xml:space="preserve"> Юрій Іванович</w:t>
            </w:r>
            <w:r w:rsidRPr="00B96235">
              <w:rPr>
                <w:sz w:val="18"/>
                <w:szCs w:val="18"/>
              </w:rPr>
              <w:t xml:space="preserve"> ; член лічильної комісії: </w:t>
            </w:r>
            <w:proofErr w:type="spellStart"/>
            <w:r w:rsidRPr="00B96235">
              <w:rPr>
                <w:sz w:val="18"/>
                <w:szCs w:val="18"/>
              </w:rPr>
              <w:t>Вальт</w:t>
            </w:r>
            <w:proofErr w:type="spellEnd"/>
            <w:r w:rsidRPr="00B96235">
              <w:rPr>
                <w:sz w:val="18"/>
                <w:szCs w:val="18"/>
              </w:rPr>
              <w:t xml:space="preserve"> </w:t>
            </w:r>
            <w:proofErr w:type="spellStart"/>
            <w:r w:rsidRPr="00B96235">
              <w:rPr>
                <w:sz w:val="18"/>
                <w:szCs w:val="18"/>
              </w:rPr>
              <w:t>Альона</w:t>
            </w:r>
            <w:proofErr w:type="spellEnd"/>
            <w:r w:rsidRPr="00B96235">
              <w:rPr>
                <w:sz w:val="18"/>
                <w:szCs w:val="18"/>
              </w:rPr>
              <w:t xml:space="preserve"> Олександрівна Припинити повноваження ліч</w:t>
            </w:r>
            <w:r w:rsidRPr="00B96235">
              <w:rPr>
                <w:sz w:val="18"/>
                <w:szCs w:val="18"/>
              </w:rPr>
              <w:t>и</w:t>
            </w:r>
            <w:r w:rsidRPr="00B96235">
              <w:rPr>
                <w:sz w:val="18"/>
                <w:szCs w:val="18"/>
              </w:rPr>
              <w:t xml:space="preserve">льної комісії </w:t>
            </w:r>
            <w:r w:rsidRPr="00B96235">
              <w:rPr>
                <w:bCs/>
                <w:sz w:val="18"/>
                <w:szCs w:val="18"/>
              </w:rPr>
              <w:t>по закінченню загальних зборів.</w:t>
            </w:r>
          </w:p>
          <w:p w:rsidR="00E90EFB" w:rsidRPr="00B96235" w:rsidRDefault="00E90EFB" w:rsidP="00E90EFB">
            <w:pPr>
              <w:ind w:firstLine="426"/>
              <w:jc w:val="both"/>
              <w:rPr>
                <w:bCs/>
                <w:sz w:val="18"/>
                <w:szCs w:val="18"/>
              </w:rPr>
            </w:pPr>
            <w:r w:rsidRPr="00B96235">
              <w:rPr>
                <w:bCs/>
                <w:sz w:val="18"/>
                <w:szCs w:val="18"/>
              </w:rPr>
              <w:t>Головою загальних зборів</w:t>
            </w:r>
            <w:r w:rsidRPr="00B96235">
              <w:rPr>
                <w:sz w:val="18"/>
                <w:szCs w:val="18"/>
              </w:rPr>
              <w:t xml:space="preserve"> обрати – </w:t>
            </w:r>
            <w:proofErr w:type="spellStart"/>
            <w:r w:rsidR="00DF5929" w:rsidRPr="00B96235">
              <w:rPr>
                <w:sz w:val="18"/>
                <w:szCs w:val="18"/>
              </w:rPr>
              <w:t>Струк</w:t>
            </w:r>
            <w:proofErr w:type="spellEnd"/>
            <w:r w:rsidR="00DF5929" w:rsidRPr="00B96235">
              <w:rPr>
                <w:sz w:val="18"/>
                <w:szCs w:val="18"/>
              </w:rPr>
              <w:t xml:space="preserve"> Геннадія Володимировича</w:t>
            </w:r>
            <w:r w:rsidRPr="00B96235">
              <w:rPr>
                <w:sz w:val="18"/>
                <w:szCs w:val="18"/>
              </w:rPr>
              <w:t xml:space="preserve">. </w:t>
            </w:r>
            <w:r w:rsidRPr="00B96235">
              <w:rPr>
                <w:bCs/>
                <w:sz w:val="18"/>
                <w:szCs w:val="18"/>
              </w:rPr>
              <w:t>Секретарем загальних зборів</w:t>
            </w:r>
            <w:r w:rsidRPr="00B96235">
              <w:rPr>
                <w:sz w:val="18"/>
                <w:szCs w:val="18"/>
              </w:rPr>
              <w:t xml:space="preserve"> обрати – </w:t>
            </w:r>
            <w:proofErr w:type="spellStart"/>
            <w:r w:rsidRPr="00B96235">
              <w:rPr>
                <w:sz w:val="18"/>
                <w:szCs w:val="18"/>
              </w:rPr>
              <w:t>Вальт</w:t>
            </w:r>
            <w:proofErr w:type="spellEnd"/>
            <w:r w:rsidRPr="00B96235">
              <w:rPr>
                <w:sz w:val="18"/>
                <w:szCs w:val="18"/>
              </w:rPr>
              <w:t xml:space="preserve"> </w:t>
            </w:r>
            <w:proofErr w:type="spellStart"/>
            <w:r w:rsidRPr="00B96235">
              <w:rPr>
                <w:sz w:val="18"/>
                <w:szCs w:val="18"/>
              </w:rPr>
              <w:t>Альону</w:t>
            </w:r>
            <w:proofErr w:type="spellEnd"/>
            <w:r w:rsidRPr="00B96235">
              <w:rPr>
                <w:sz w:val="18"/>
                <w:szCs w:val="18"/>
              </w:rPr>
              <w:t xml:space="preserve"> Олександрівну.</w:t>
            </w:r>
          </w:p>
          <w:p w:rsidR="00E90EFB" w:rsidRPr="00B96235" w:rsidRDefault="00E90EFB" w:rsidP="00E90EFB">
            <w:pPr>
              <w:ind w:firstLine="540"/>
              <w:jc w:val="both"/>
              <w:rPr>
                <w:sz w:val="18"/>
                <w:szCs w:val="18"/>
              </w:rPr>
            </w:pPr>
            <w:r w:rsidRPr="00B96235">
              <w:rPr>
                <w:sz w:val="18"/>
                <w:szCs w:val="18"/>
              </w:rPr>
              <w:t>Розпочати загальні збори під час проведення яких дотримуватись наступного регламенту їх проведення: доповіді – до 10 хв., виступи – до 5 хв.</w:t>
            </w:r>
          </w:p>
          <w:p w:rsidR="00E90EFB" w:rsidRPr="00B96235" w:rsidRDefault="00E90EFB" w:rsidP="00E90EFB">
            <w:pPr>
              <w:ind w:firstLine="540"/>
              <w:jc w:val="both"/>
              <w:rPr>
                <w:sz w:val="18"/>
                <w:szCs w:val="18"/>
              </w:rPr>
            </w:pPr>
            <w:r w:rsidRPr="00B96235">
              <w:rPr>
                <w:sz w:val="18"/>
                <w:szCs w:val="18"/>
              </w:rPr>
              <w:t>Голосування з питань порядку денного проводиться за принципом «одна акція – один голос».</w:t>
            </w:r>
          </w:p>
          <w:p w:rsidR="00E90EFB" w:rsidRPr="00B96235" w:rsidRDefault="00E90EFB" w:rsidP="00E90EFB">
            <w:pPr>
              <w:ind w:firstLine="397"/>
              <w:jc w:val="both"/>
              <w:rPr>
                <w:sz w:val="18"/>
                <w:szCs w:val="18"/>
              </w:rPr>
            </w:pPr>
            <w:r w:rsidRPr="00B96235">
              <w:rPr>
                <w:sz w:val="18"/>
                <w:szCs w:val="18"/>
              </w:rPr>
              <w:t>Голосування проводити послідовно після розгляду кожного питання включеного до порядку денного Загальних зборів.</w:t>
            </w:r>
          </w:p>
          <w:p w:rsidR="00E90EFB" w:rsidRPr="00B96235" w:rsidRDefault="00E90EFB" w:rsidP="00E90EFB">
            <w:pPr>
              <w:ind w:firstLine="540"/>
              <w:jc w:val="both"/>
              <w:rPr>
                <w:sz w:val="18"/>
                <w:szCs w:val="18"/>
              </w:rPr>
            </w:pPr>
            <w:r w:rsidRPr="00B96235">
              <w:rPr>
                <w:sz w:val="18"/>
                <w:szCs w:val="18"/>
              </w:rPr>
              <w:t>Для прискорення ходу зборів дозволяється розглядати наступне питання порядку денного без оголошення результатів попереднього окрім пов’язаних питань.</w:t>
            </w:r>
          </w:p>
          <w:p w:rsidR="00E90EFB" w:rsidRPr="00B96235" w:rsidRDefault="00E90EFB" w:rsidP="00E90EFB">
            <w:pPr>
              <w:ind w:firstLine="540"/>
              <w:jc w:val="both"/>
              <w:rPr>
                <w:sz w:val="18"/>
                <w:szCs w:val="18"/>
              </w:rPr>
            </w:pPr>
            <w:r w:rsidRPr="00B96235">
              <w:rPr>
                <w:sz w:val="18"/>
                <w:szCs w:val="18"/>
              </w:rPr>
              <w:t>Ніхто з учасників зборів не може виступити без згоди Голови зборів. Голова зборів може перервати виступаючого, якщо час його виступу перевищує затверджений регламент. Будь-який акціонер може взяти участь у виступах, зауваженнях, уточненнях тільки з  того питання, яке обговорюється.</w:t>
            </w:r>
          </w:p>
          <w:p w:rsidR="00E90EFB" w:rsidRPr="00B96235" w:rsidRDefault="00E90EFB" w:rsidP="00E90EFB">
            <w:pPr>
              <w:ind w:firstLine="540"/>
              <w:jc w:val="both"/>
              <w:rPr>
                <w:sz w:val="18"/>
                <w:szCs w:val="18"/>
              </w:rPr>
            </w:pPr>
            <w:r w:rsidRPr="00B96235">
              <w:rPr>
                <w:sz w:val="18"/>
                <w:szCs w:val="18"/>
              </w:rPr>
              <w:t>Диктофонні або будь-які інші записи, проведені під час проведення зборів, не можуть вважатися документом або фактом підтвердження будь-якої інформації, оголошеної на зборах, окрім протоколу зборів акціонерів, складеного та підписаного відповідно до вимог чинного законодавства України головою зборів і секретарем. Протокол є єдиним документом в якому зафіксовані рішення з питань порядку денного.</w:t>
            </w:r>
          </w:p>
          <w:p w:rsidR="00E90EFB" w:rsidRPr="00B96235" w:rsidRDefault="00E90EFB" w:rsidP="00E90EFB">
            <w:pPr>
              <w:ind w:firstLine="426"/>
              <w:jc w:val="both"/>
              <w:rPr>
                <w:sz w:val="18"/>
                <w:szCs w:val="18"/>
              </w:rPr>
            </w:pPr>
            <w:r w:rsidRPr="00B96235">
              <w:rPr>
                <w:sz w:val="18"/>
                <w:szCs w:val="18"/>
              </w:rPr>
              <w:t>Голосування з питань порядку денного загальних зборів акціонерів проводиться виключно з використанням бюлетенів для голосування, форма і текст яких були затверджені відповідно до чинного законодавства, та які були видані учасникам загальних зборів акціонерів Товариства для голосування.</w:t>
            </w:r>
          </w:p>
          <w:p w:rsidR="00E90EFB" w:rsidRPr="00B96235" w:rsidRDefault="00E90EFB" w:rsidP="00E90EFB">
            <w:pPr>
              <w:pStyle w:val="a7"/>
              <w:ind w:firstLine="426"/>
              <w:jc w:val="both"/>
              <w:rPr>
                <w:rStyle w:val="a6"/>
                <w:b w:val="0"/>
                <w:sz w:val="18"/>
                <w:szCs w:val="18"/>
                <w:shd w:val="clear" w:color="auto" w:fill="FFFFFF"/>
                <w:lang w:val="uk-UA"/>
              </w:rPr>
            </w:pPr>
            <w:r w:rsidRPr="00B96235">
              <w:rPr>
                <w:sz w:val="18"/>
                <w:szCs w:val="18"/>
                <w:lang w:val="uk-UA"/>
              </w:rPr>
              <w:t xml:space="preserve">Бюлетень для голосування, виданий акціонеру за результатами проведеної реєстрації, засвідчується </w:t>
            </w:r>
            <w:r w:rsidRPr="00B96235">
              <w:rPr>
                <w:rStyle w:val="a6"/>
                <w:b w:val="0"/>
                <w:sz w:val="18"/>
                <w:szCs w:val="18"/>
                <w:shd w:val="clear" w:color="auto" w:fill="FFFFFF"/>
                <w:lang w:val="uk-UA"/>
              </w:rPr>
              <w:t xml:space="preserve">підписом Голови Реєстраційної </w:t>
            </w:r>
            <w:r w:rsidR="00DF5929" w:rsidRPr="00B96235">
              <w:rPr>
                <w:rStyle w:val="a6"/>
                <w:b w:val="0"/>
                <w:sz w:val="18"/>
                <w:szCs w:val="18"/>
                <w:shd w:val="clear" w:color="auto" w:fill="FFFFFF"/>
                <w:lang w:val="uk-UA"/>
              </w:rPr>
              <w:t>комісії</w:t>
            </w:r>
            <w:r w:rsidRPr="00B96235">
              <w:rPr>
                <w:rStyle w:val="a6"/>
                <w:sz w:val="18"/>
                <w:szCs w:val="18"/>
                <w:shd w:val="clear" w:color="auto" w:fill="FFFFFF"/>
                <w:lang w:val="uk-UA"/>
              </w:rPr>
              <w:t xml:space="preserve"> </w:t>
            </w:r>
            <w:r w:rsidRPr="00B96235">
              <w:rPr>
                <w:sz w:val="18"/>
                <w:szCs w:val="18"/>
                <w:lang w:val="uk-UA"/>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B96235">
              <w:rPr>
                <w:rStyle w:val="a6"/>
                <w:b w:val="0"/>
                <w:sz w:val="18"/>
                <w:szCs w:val="18"/>
                <w:shd w:val="clear" w:color="auto" w:fill="FFFFFF"/>
                <w:lang w:val="uk-UA"/>
              </w:rPr>
              <w:t>Бюлетень для голосування визнається недійсним у разі, якщо він відрізняється від офіційно виготовленого Товариством зразка.</w:t>
            </w:r>
          </w:p>
          <w:p w:rsidR="00F30C44" w:rsidRPr="00B96235" w:rsidRDefault="00F30C44" w:rsidP="00E50C20">
            <w:pPr>
              <w:pStyle w:val="a3"/>
              <w:numPr>
                <w:ilvl w:val="0"/>
                <w:numId w:val="1"/>
              </w:numPr>
              <w:tabs>
                <w:tab w:val="left" w:pos="175"/>
              </w:tabs>
              <w:spacing w:after="0" w:line="240" w:lineRule="auto"/>
              <w:ind w:left="0" w:firstLine="0"/>
              <w:jc w:val="both"/>
              <w:rPr>
                <w:rFonts w:ascii="Times New Roman" w:hAnsi="Times New Roman"/>
                <w:sz w:val="18"/>
                <w:szCs w:val="18"/>
                <w:lang w:val="uk-UA"/>
              </w:rPr>
            </w:pPr>
            <w:r w:rsidRPr="00B96235">
              <w:rPr>
                <w:rFonts w:ascii="Times New Roman" w:hAnsi="Times New Roman"/>
                <w:sz w:val="18"/>
                <w:szCs w:val="18"/>
                <w:lang w:val="uk-UA"/>
              </w:rPr>
              <w:t>Прийняття рішення за наслідками розгляду звіту директор Товариства про результати фінансово-господарської діяльності Товариства за 2016 рік.</w:t>
            </w:r>
          </w:p>
          <w:p w:rsidR="00DF5929" w:rsidRPr="00B96235" w:rsidRDefault="00DF5929" w:rsidP="00DF5929">
            <w:pPr>
              <w:pStyle w:val="a3"/>
              <w:tabs>
                <w:tab w:val="left" w:pos="175"/>
              </w:tabs>
              <w:spacing w:after="0" w:line="240" w:lineRule="auto"/>
              <w:ind w:left="-35"/>
              <w:jc w:val="both"/>
              <w:rPr>
                <w:rFonts w:ascii="Times New Roman" w:hAnsi="Times New Roman"/>
                <w:sz w:val="18"/>
                <w:szCs w:val="18"/>
                <w:lang w:val="uk-UA"/>
              </w:rPr>
            </w:pPr>
            <w:r w:rsidRPr="00B96235">
              <w:rPr>
                <w:rFonts w:ascii="Times New Roman" w:hAnsi="Times New Roman"/>
                <w:b/>
                <w:i/>
                <w:sz w:val="18"/>
                <w:szCs w:val="18"/>
                <w:lang w:val="uk-UA"/>
              </w:rPr>
              <w:t xml:space="preserve">Проект рішення: </w:t>
            </w:r>
            <w:r w:rsidRPr="00B96235">
              <w:rPr>
                <w:rFonts w:ascii="Times New Roman" w:hAnsi="Times New Roman"/>
                <w:sz w:val="18"/>
                <w:szCs w:val="18"/>
                <w:lang w:val="uk-UA"/>
              </w:rPr>
              <w:t>Затвердити звіт</w:t>
            </w:r>
            <w:r w:rsidRPr="00B96235">
              <w:rPr>
                <w:rFonts w:ascii="Times New Roman" w:hAnsi="Times New Roman"/>
                <w:b/>
                <w:i/>
                <w:sz w:val="18"/>
                <w:szCs w:val="18"/>
                <w:lang w:val="uk-UA"/>
              </w:rPr>
              <w:t xml:space="preserve"> </w:t>
            </w:r>
            <w:r w:rsidRPr="00B96235">
              <w:rPr>
                <w:rFonts w:ascii="Times New Roman" w:hAnsi="Times New Roman"/>
                <w:sz w:val="18"/>
                <w:szCs w:val="18"/>
                <w:lang w:val="uk-UA"/>
              </w:rPr>
              <w:t>директора товариства про результати фінансово-господарської діяльності у 2016 році, роботу дирекції у звітний період визнати задовільною.</w:t>
            </w:r>
          </w:p>
          <w:p w:rsidR="00F30C44" w:rsidRPr="00B96235" w:rsidRDefault="00F30C44" w:rsidP="00E50C20">
            <w:pPr>
              <w:pStyle w:val="a3"/>
              <w:numPr>
                <w:ilvl w:val="0"/>
                <w:numId w:val="1"/>
              </w:numPr>
              <w:tabs>
                <w:tab w:val="left" w:pos="175"/>
              </w:tabs>
              <w:spacing w:after="0" w:line="240" w:lineRule="auto"/>
              <w:ind w:left="0" w:firstLine="0"/>
              <w:jc w:val="both"/>
              <w:rPr>
                <w:rFonts w:ascii="Times New Roman" w:hAnsi="Times New Roman"/>
                <w:sz w:val="18"/>
                <w:szCs w:val="18"/>
                <w:lang w:val="uk-UA"/>
              </w:rPr>
            </w:pPr>
            <w:r w:rsidRPr="00B96235">
              <w:rPr>
                <w:rFonts w:ascii="Times New Roman" w:hAnsi="Times New Roman"/>
                <w:sz w:val="18"/>
                <w:szCs w:val="18"/>
                <w:lang w:val="uk-UA"/>
              </w:rPr>
              <w:t>Прийняття рішення за наслідками розгляду звіту Наглядової Ради Товариства за 2016рік.</w:t>
            </w:r>
          </w:p>
          <w:p w:rsidR="00DF5929" w:rsidRPr="00B96235" w:rsidRDefault="00DF5929" w:rsidP="00DF5929">
            <w:pPr>
              <w:pStyle w:val="a3"/>
              <w:tabs>
                <w:tab w:val="left" w:pos="175"/>
              </w:tabs>
              <w:spacing w:after="0" w:line="240" w:lineRule="auto"/>
              <w:ind w:left="0"/>
              <w:jc w:val="both"/>
              <w:rPr>
                <w:rFonts w:ascii="Times New Roman" w:hAnsi="Times New Roman"/>
                <w:sz w:val="18"/>
                <w:szCs w:val="18"/>
                <w:lang w:val="uk-UA"/>
              </w:rPr>
            </w:pPr>
            <w:r w:rsidRPr="00B96235">
              <w:rPr>
                <w:rFonts w:ascii="Times New Roman" w:hAnsi="Times New Roman"/>
                <w:b/>
                <w:i/>
                <w:sz w:val="18"/>
                <w:szCs w:val="18"/>
                <w:lang w:val="uk-UA"/>
              </w:rPr>
              <w:t>Проект рішення:</w:t>
            </w:r>
            <w:r w:rsidRPr="00B96235">
              <w:rPr>
                <w:rFonts w:ascii="Times New Roman" w:hAnsi="Times New Roman"/>
                <w:sz w:val="18"/>
                <w:szCs w:val="18"/>
                <w:lang w:val="uk-UA"/>
              </w:rPr>
              <w:t xml:space="preserve"> Затвердити звіт Наглядової ради Товариства за 2016 рік, роботу Ради Товариства у звітному періоді визнати задовільною.</w:t>
            </w:r>
          </w:p>
          <w:p w:rsidR="00F30C44" w:rsidRPr="00B96235" w:rsidRDefault="00F30C44" w:rsidP="00E50C20">
            <w:pPr>
              <w:pStyle w:val="a3"/>
              <w:numPr>
                <w:ilvl w:val="0"/>
                <w:numId w:val="1"/>
              </w:numPr>
              <w:tabs>
                <w:tab w:val="left" w:pos="175"/>
              </w:tabs>
              <w:spacing w:after="0" w:line="240" w:lineRule="auto"/>
              <w:ind w:left="0" w:firstLine="0"/>
              <w:jc w:val="both"/>
              <w:rPr>
                <w:rFonts w:ascii="Times New Roman" w:hAnsi="Times New Roman"/>
                <w:sz w:val="18"/>
                <w:szCs w:val="18"/>
                <w:lang w:val="uk-UA"/>
              </w:rPr>
            </w:pPr>
            <w:r w:rsidRPr="00B96235">
              <w:rPr>
                <w:rFonts w:ascii="Times New Roman" w:hAnsi="Times New Roman"/>
                <w:sz w:val="18"/>
                <w:szCs w:val="18"/>
                <w:lang w:val="uk-UA"/>
              </w:rPr>
              <w:t>Затвердження висновків та прийняття рішення за наслідками розгляду звіту Ревізійної комісії (Ревізора) Товариства за підсумками перевірки фінансово-господарської діяльності Товариства за результатами 2016 року.</w:t>
            </w:r>
          </w:p>
          <w:p w:rsidR="00DF5929" w:rsidRPr="00B96235" w:rsidRDefault="00DF5929" w:rsidP="00DF5929">
            <w:pPr>
              <w:pStyle w:val="a3"/>
              <w:tabs>
                <w:tab w:val="left" w:pos="175"/>
              </w:tabs>
              <w:spacing w:after="0" w:line="240" w:lineRule="auto"/>
              <w:ind w:left="0"/>
              <w:jc w:val="both"/>
              <w:rPr>
                <w:rFonts w:ascii="Times New Roman" w:hAnsi="Times New Roman"/>
                <w:sz w:val="18"/>
                <w:szCs w:val="18"/>
                <w:lang w:val="uk-UA"/>
              </w:rPr>
            </w:pPr>
            <w:r w:rsidRPr="00B96235">
              <w:rPr>
                <w:rFonts w:ascii="Times New Roman" w:hAnsi="Times New Roman"/>
                <w:b/>
                <w:i/>
                <w:sz w:val="18"/>
                <w:szCs w:val="18"/>
                <w:lang w:val="uk-UA"/>
              </w:rPr>
              <w:t>Проект рішення:</w:t>
            </w:r>
            <w:r w:rsidRPr="00B96235">
              <w:rPr>
                <w:rFonts w:ascii="Times New Roman" w:hAnsi="Times New Roman"/>
                <w:sz w:val="18"/>
                <w:szCs w:val="18"/>
                <w:lang w:val="uk-UA"/>
              </w:rPr>
              <w:t xml:space="preserve"> Затвердити звіт та висновки Ревізора, роботу Ревізора у звітному році визнати задовільною.</w:t>
            </w:r>
          </w:p>
          <w:p w:rsidR="00F30C44" w:rsidRPr="00B96235" w:rsidRDefault="00F30C44" w:rsidP="00E50C20">
            <w:pPr>
              <w:pStyle w:val="a3"/>
              <w:numPr>
                <w:ilvl w:val="0"/>
                <w:numId w:val="1"/>
              </w:numPr>
              <w:tabs>
                <w:tab w:val="left" w:pos="175"/>
              </w:tabs>
              <w:spacing w:after="0" w:line="240" w:lineRule="auto"/>
              <w:ind w:left="0" w:firstLine="0"/>
              <w:jc w:val="both"/>
              <w:rPr>
                <w:rFonts w:ascii="Times New Roman" w:hAnsi="Times New Roman"/>
                <w:color w:val="000000"/>
                <w:sz w:val="18"/>
                <w:szCs w:val="18"/>
                <w:lang w:val="uk-UA"/>
              </w:rPr>
            </w:pPr>
            <w:r w:rsidRPr="00B96235">
              <w:rPr>
                <w:rFonts w:ascii="Times New Roman" w:hAnsi="Times New Roman"/>
                <w:sz w:val="18"/>
                <w:szCs w:val="18"/>
                <w:lang w:val="uk-UA"/>
              </w:rPr>
              <w:t>Затвердження річного звіту Товариства за 2016 рік.</w:t>
            </w:r>
          </w:p>
          <w:p w:rsidR="00DF5929" w:rsidRPr="00B96235" w:rsidRDefault="00DF5929" w:rsidP="00DF5929">
            <w:pPr>
              <w:pStyle w:val="a3"/>
              <w:tabs>
                <w:tab w:val="left" w:pos="175"/>
              </w:tabs>
              <w:spacing w:after="0" w:line="240" w:lineRule="auto"/>
              <w:ind w:left="0"/>
              <w:jc w:val="both"/>
              <w:rPr>
                <w:rFonts w:ascii="Times New Roman" w:hAnsi="Times New Roman"/>
                <w:sz w:val="18"/>
                <w:szCs w:val="18"/>
                <w:lang w:val="uk-UA"/>
              </w:rPr>
            </w:pPr>
            <w:r w:rsidRPr="00B96235">
              <w:rPr>
                <w:rFonts w:ascii="Times New Roman" w:hAnsi="Times New Roman"/>
                <w:b/>
                <w:i/>
                <w:sz w:val="18"/>
                <w:szCs w:val="18"/>
                <w:lang w:val="uk-UA"/>
              </w:rPr>
              <w:t>Проект рішення:</w:t>
            </w:r>
            <w:r w:rsidRPr="00B96235">
              <w:rPr>
                <w:rFonts w:ascii="Times New Roman" w:hAnsi="Times New Roman"/>
                <w:b/>
                <w:sz w:val="18"/>
                <w:szCs w:val="18"/>
                <w:lang w:val="uk-UA"/>
              </w:rPr>
              <w:t xml:space="preserve"> </w:t>
            </w:r>
            <w:r w:rsidRPr="00B96235">
              <w:rPr>
                <w:rFonts w:ascii="Times New Roman" w:hAnsi="Times New Roman"/>
                <w:sz w:val="18"/>
                <w:szCs w:val="18"/>
                <w:lang w:val="uk-UA"/>
              </w:rPr>
              <w:t>Затвердити річний звіт Товариства за 2016 рік.</w:t>
            </w:r>
          </w:p>
          <w:p w:rsidR="00F30C44" w:rsidRPr="00B96235" w:rsidRDefault="00F30C44" w:rsidP="00E50C20">
            <w:pPr>
              <w:pStyle w:val="a3"/>
              <w:numPr>
                <w:ilvl w:val="0"/>
                <w:numId w:val="1"/>
              </w:numPr>
              <w:tabs>
                <w:tab w:val="left" w:pos="175"/>
              </w:tabs>
              <w:spacing w:after="0" w:line="240" w:lineRule="auto"/>
              <w:ind w:left="0" w:firstLine="0"/>
              <w:jc w:val="both"/>
              <w:rPr>
                <w:rFonts w:ascii="Times New Roman" w:hAnsi="Times New Roman"/>
                <w:color w:val="000000"/>
                <w:sz w:val="18"/>
                <w:szCs w:val="18"/>
                <w:lang w:val="uk-UA"/>
              </w:rPr>
            </w:pPr>
            <w:r w:rsidRPr="00B96235">
              <w:rPr>
                <w:rFonts w:ascii="Times New Roman" w:hAnsi="Times New Roman"/>
                <w:sz w:val="18"/>
                <w:szCs w:val="18"/>
                <w:lang w:val="uk-UA"/>
              </w:rPr>
              <w:t>Розподіл прибутку, покриття  збитків Товариства, прийняття рішення про виплату дивідендів та їх розмір з урахування вимог законодавства України.</w:t>
            </w:r>
          </w:p>
          <w:p w:rsidR="00DF5929" w:rsidRPr="00B96235" w:rsidRDefault="00DF5929" w:rsidP="00DF5929">
            <w:pPr>
              <w:pStyle w:val="a3"/>
              <w:tabs>
                <w:tab w:val="left" w:pos="175"/>
              </w:tabs>
              <w:spacing w:after="0" w:line="240" w:lineRule="auto"/>
              <w:ind w:left="0"/>
              <w:jc w:val="both"/>
              <w:rPr>
                <w:rFonts w:ascii="Times New Roman" w:hAnsi="Times New Roman"/>
                <w:color w:val="000000"/>
                <w:sz w:val="18"/>
                <w:szCs w:val="18"/>
                <w:lang w:val="uk-UA"/>
              </w:rPr>
            </w:pPr>
            <w:r w:rsidRPr="00B96235">
              <w:rPr>
                <w:rFonts w:ascii="Times New Roman" w:hAnsi="Times New Roman"/>
                <w:b/>
                <w:i/>
                <w:sz w:val="18"/>
                <w:szCs w:val="18"/>
                <w:lang w:val="uk-UA"/>
              </w:rPr>
              <w:lastRenderedPageBreak/>
              <w:t xml:space="preserve">Проект рішення: </w:t>
            </w:r>
            <w:r w:rsidRPr="00B96235">
              <w:rPr>
                <w:rFonts w:ascii="Times New Roman" w:hAnsi="Times New Roman"/>
                <w:sz w:val="18"/>
                <w:szCs w:val="18"/>
                <w:lang w:val="uk-UA"/>
              </w:rPr>
              <w:t>Прибуток у розмірі 21,0 тис. грн.. від господарської діяльності Товариства за 2016 рік залишити на покриття збитків минулих періодів. Розмір дивідендів не визначати, дивіденди не нараховувати та не виплачувати у зв’язку з покриттям збитків минулих періодів.</w:t>
            </w:r>
          </w:p>
          <w:p w:rsidR="00F30C44" w:rsidRPr="00B96235" w:rsidRDefault="00F30C44" w:rsidP="00DF5929">
            <w:pPr>
              <w:pStyle w:val="a3"/>
              <w:numPr>
                <w:ilvl w:val="0"/>
                <w:numId w:val="1"/>
              </w:numPr>
              <w:tabs>
                <w:tab w:val="left" w:pos="317"/>
              </w:tabs>
              <w:spacing w:after="0" w:line="240" w:lineRule="auto"/>
              <w:ind w:left="33" w:firstLine="0"/>
              <w:jc w:val="both"/>
              <w:rPr>
                <w:rFonts w:ascii="Times New Roman" w:hAnsi="Times New Roman"/>
                <w:sz w:val="18"/>
                <w:szCs w:val="18"/>
                <w:lang w:val="uk-UA"/>
              </w:rPr>
            </w:pPr>
            <w:proofErr w:type="spellStart"/>
            <w:r w:rsidRPr="00B96235">
              <w:rPr>
                <w:rFonts w:ascii="Times New Roman" w:hAnsi="Times New Roman"/>
                <w:sz w:val="18"/>
                <w:szCs w:val="18"/>
              </w:rPr>
              <w:t>Прийняття</w:t>
            </w:r>
            <w:proofErr w:type="spellEnd"/>
            <w:r w:rsidRPr="00B96235">
              <w:rPr>
                <w:rFonts w:ascii="Times New Roman" w:hAnsi="Times New Roman"/>
                <w:sz w:val="18"/>
                <w:szCs w:val="18"/>
              </w:rPr>
              <w:t xml:space="preserve"> </w:t>
            </w:r>
            <w:proofErr w:type="spellStart"/>
            <w:proofErr w:type="gramStart"/>
            <w:r w:rsidRPr="00B96235">
              <w:rPr>
                <w:rFonts w:ascii="Times New Roman" w:hAnsi="Times New Roman"/>
                <w:sz w:val="18"/>
                <w:szCs w:val="18"/>
              </w:rPr>
              <w:t>р</w:t>
            </w:r>
            <w:proofErr w:type="gramEnd"/>
            <w:r w:rsidRPr="00B96235">
              <w:rPr>
                <w:rFonts w:ascii="Times New Roman" w:hAnsi="Times New Roman"/>
                <w:sz w:val="18"/>
                <w:szCs w:val="18"/>
              </w:rPr>
              <w:t>ішення</w:t>
            </w:r>
            <w:proofErr w:type="spellEnd"/>
            <w:r w:rsidRPr="00B96235">
              <w:rPr>
                <w:rFonts w:ascii="Times New Roman" w:hAnsi="Times New Roman"/>
                <w:sz w:val="18"/>
                <w:szCs w:val="18"/>
              </w:rPr>
              <w:t xml:space="preserve"> про </w:t>
            </w:r>
            <w:proofErr w:type="spellStart"/>
            <w:r w:rsidRPr="00B96235">
              <w:rPr>
                <w:rFonts w:ascii="Times New Roman" w:hAnsi="Times New Roman"/>
                <w:sz w:val="18"/>
                <w:szCs w:val="18"/>
              </w:rPr>
              <w:t>спрощення</w:t>
            </w:r>
            <w:proofErr w:type="spellEnd"/>
            <w:r w:rsidRPr="00B96235">
              <w:rPr>
                <w:rFonts w:ascii="Times New Roman" w:hAnsi="Times New Roman"/>
                <w:sz w:val="18"/>
                <w:szCs w:val="18"/>
              </w:rPr>
              <w:t xml:space="preserve"> кон</w:t>
            </w:r>
            <w:proofErr w:type="spellStart"/>
            <w:r w:rsidRPr="00B96235">
              <w:rPr>
                <w:rFonts w:ascii="Times New Roman" w:hAnsi="Times New Roman"/>
                <w:sz w:val="18"/>
                <w:szCs w:val="18"/>
                <w:lang w:val="uk-UA"/>
              </w:rPr>
              <w:t>тролюючого</w:t>
            </w:r>
            <w:proofErr w:type="spellEnd"/>
            <w:r w:rsidRPr="00B96235">
              <w:rPr>
                <w:rFonts w:ascii="Times New Roman" w:hAnsi="Times New Roman"/>
                <w:sz w:val="18"/>
                <w:szCs w:val="18"/>
                <w:lang w:val="uk-UA"/>
              </w:rPr>
              <w:t xml:space="preserve"> органу. Припинення повноважень Ревізора Товариства.</w:t>
            </w:r>
          </w:p>
          <w:p w:rsidR="00DF5929" w:rsidRPr="00B96235" w:rsidRDefault="00DF5929" w:rsidP="00DF5929">
            <w:pPr>
              <w:pStyle w:val="a3"/>
              <w:tabs>
                <w:tab w:val="left" w:pos="317"/>
              </w:tabs>
              <w:spacing w:after="0" w:line="240" w:lineRule="auto"/>
              <w:ind w:left="33"/>
              <w:jc w:val="both"/>
              <w:rPr>
                <w:rFonts w:ascii="Times New Roman" w:hAnsi="Times New Roman"/>
                <w:sz w:val="18"/>
                <w:szCs w:val="18"/>
                <w:lang w:val="uk-UA"/>
              </w:rPr>
            </w:pPr>
            <w:r w:rsidRPr="00B96235">
              <w:rPr>
                <w:rFonts w:ascii="Times New Roman" w:hAnsi="Times New Roman"/>
                <w:b/>
                <w:i/>
                <w:sz w:val="18"/>
                <w:szCs w:val="18"/>
                <w:lang w:val="uk-UA"/>
              </w:rPr>
              <w:t xml:space="preserve">Проект рішення: </w:t>
            </w:r>
            <w:r w:rsidRPr="00B96235">
              <w:rPr>
                <w:rFonts w:ascii="Times New Roman" w:hAnsi="Times New Roman"/>
                <w:sz w:val="18"/>
                <w:szCs w:val="18"/>
                <w:lang w:val="uk-UA"/>
              </w:rPr>
              <w:t xml:space="preserve">Керуючись ст.. 73 Закону України «Про акціонерні товариства» спростити контролюючий орган Товариства, а саме спростити посаду Ревізора. Припинити повноваження ревізора Куба Олени Василівни акціонера </w:t>
            </w:r>
            <w:proofErr w:type="spellStart"/>
            <w:r w:rsidRPr="00B96235">
              <w:rPr>
                <w:rFonts w:ascii="Times New Roman" w:hAnsi="Times New Roman"/>
                <w:sz w:val="18"/>
                <w:szCs w:val="18"/>
                <w:lang w:val="uk-UA"/>
              </w:rPr>
              <w:t>ПРАТ</w:t>
            </w:r>
            <w:proofErr w:type="spellEnd"/>
            <w:r w:rsidRPr="00B96235">
              <w:rPr>
                <w:rFonts w:ascii="Times New Roman" w:hAnsi="Times New Roman"/>
                <w:sz w:val="18"/>
                <w:szCs w:val="18"/>
                <w:lang w:val="uk-UA"/>
              </w:rPr>
              <w:t xml:space="preserve"> «</w:t>
            </w:r>
            <w:proofErr w:type="spellStart"/>
            <w:r w:rsidRPr="00B96235">
              <w:rPr>
                <w:rFonts w:ascii="Times New Roman" w:hAnsi="Times New Roman"/>
                <w:sz w:val="18"/>
                <w:szCs w:val="18"/>
                <w:lang w:val="uk-UA"/>
              </w:rPr>
              <w:t>Великомихайлівське</w:t>
            </w:r>
            <w:proofErr w:type="spellEnd"/>
            <w:r w:rsidRPr="00B96235">
              <w:rPr>
                <w:rFonts w:ascii="Times New Roman" w:hAnsi="Times New Roman"/>
                <w:sz w:val="18"/>
                <w:szCs w:val="18"/>
                <w:lang w:val="uk-UA"/>
              </w:rPr>
              <w:t xml:space="preserve"> АТП 15141». Для проведення перевірки фінансово-господарської діяльності Товариства залучити незалежного аудитора. </w:t>
            </w:r>
          </w:p>
          <w:p w:rsidR="00F30C44" w:rsidRPr="00B96235" w:rsidRDefault="00F30C44" w:rsidP="00DF5929">
            <w:pPr>
              <w:pStyle w:val="a3"/>
              <w:numPr>
                <w:ilvl w:val="0"/>
                <w:numId w:val="1"/>
              </w:numPr>
              <w:tabs>
                <w:tab w:val="left" w:pos="0"/>
              </w:tabs>
              <w:autoSpaceDE w:val="0"/>
              <w:ind w:left="0" w:firstLine="33"/>
              <w:jc w:val="both"/>
              <w:rPr>
                <w:rFonts w:ascii="Times New Roman" w:hAnsi="Times New Roman"/>
                <w:sz w:val="18"/>
                <w:szCs w:val="18"/>
                <w:lang w:val="uk-UA"/>
              </w:rPr>
            </w:pPr>
            <w:r w:rsidRPr="00B96235">
              <w:rPr>
                <w:rFonts w:ascii="Times New Roman" w:hAnsi="Times New Roman"/>
                <w:sz w:val="18"/>
                <w:szCs w:val="18"/>
                <w:lang w:val="uk-UA"/>
              </w:rPr>
              <w:t xml:space="preserve">Зміна відомостей про місцезнаходження Товариства у зв’язку із перейменуванням вулиці та населеного пункту відповідно до рішення </w:t>
            </w:r>
            <w:r w:rsidR="00081C1B" w:rsidRPr="00B96235">
              <w:rPr>
                <w:rFonts w:ascii="Times New Roman" w:hAnsi="Times New Roman"/>
                <w:sz w:val="18"/>
                <w:szCs w:val="18"/>
                <w:lang w:val="uk-UA"/>
              </w:rPr>
              <w:t xml:space="preserve"> </w:t>
            </w:r>
            <w:proofErr w:type="spellStart"/>
            <w:r w:rsidR="00081C1B" w:rsidRPr="00B96235">
              <w:rPr>
                <w:rFonts w:ascii="Times New Roman" w:hAnsi="Times New Roman"/>
                <w:sz w:val="18"/>
                <w:szCs w:val="18"/>
                <w:lang w:val="uk-UA"/>
              </w:rPr>
              <w:t>Великомихайлівської</w:t>
            </w:r>
            <w:proofErr w:type="spellEnd"/>
            <w:r w:rsidR="00081C1B" w:rsidRPr="00B96235">
              <w:rPr>
                <w:rFonts w:ascii="Times New Roman" w:hAnsi="Times New Roman"/>
                <w:sz w:val="18"/>
                <w:szCs w:val="18"/>
                <w:lang w:val="uk-UA"/>
              </w:rPr>
              <w:t xml:space="preserve"> селищної ради</w:t>
            </w:r>
            <w:r w:rsidRPr="00B96235">
              <w:rPr>
                <w:rFonts w:ascii="Times New Roman" w:hAnsi="Times New Roman"/>
                <w:sz w:val="18"/>
                <w:szCs w:val="18"/>
                <w:lang w:val="uk-UA"/>
              </w:rPr>
              <w:t xml:space="preserve"> № </w:t>
            </w:r>
            <w:r w:rsidR="00081C1B" w:rsidRPr="00B96235">
              <w:rPr>
                <w:rFonts w:ascii="Times New Roman" w:hAnsi="Times New Roman"/>
                <w:sz w:val="18"/>
                <w:szCs w:val="18"/>
                <w:lang w:val="uk-UA"/>
              </w:rPr>
              <w:t>249-</w:t>
            </w:r>
            <w:r w:rsidR="00081C1B" w:rsidRPr="00B96235">
              <w:rPr>
                <w:rFonts w:ascii="Times New Roman" w:hAnsi="Times New Roman"/>
                <w:sz w:val="18"/>
                <w:szCs w:val="18"/>
                <w:lang w:val="en-US"/>
              </w:rPr>
              <w:t>VII</w:t>
            </w:r>
            <w:r w:rsidRPr="00B96235">
              <w:rPr>
                <w:rFonts w:ascii="Times New Roman" w:hAnsi="Times New Roman"/>
                <w:sz w:val="18"/>
                <w:szCs w:val="18"/>
                <w:lang w:val="uk-UA"/>
              </w:rPr>
              <w:t xml:space="preserve"> від </w:t>
            </w:r>
            <w:r w:rsidR="00081C1B" w:rsidRPr="00B96235">
              <w:rPr>
                <w:rFonts w:ascii="Times New Roman" w:hAnsi="Times New Roman"/>
                <w:sz w:val="18"/>
                <w:szCs w:val="18"/>
                <w:lang w:val="uk-UA"/>
              </w:rPr>
              <w:t>27</w:t>
            </w:r>
            <w:r w:rsidRPr="00B96235">
              <w:rPr>
                <w:rFonts w:ascii="Times New Roman" w:hAnsi="Times New Roman"/>
                <w:sz w:val="18"/>
                <w:szCs w:val="18"/>
                <w:lang w:val="uk-UA"/>
              </w:rPr>
              <w:t>.</w:t>
            </w:r>
            <w:r w:rsidR="00081C1B" w:rsidRPr="00B96235">
              <w:rPr>
                <w:rFonts w:ascii="Times New Roman" w:hAnsi="Times New Roman"/>
                <w:sz w:val="18"/>
                <w:szCs w:val="18"/>
                <w:lang w:val="uk-UA"/>
              </w:rPr>
              <w:t>05</w:t>
            </w:r>
            <w:r w:rsidRPr="00B96235">
              <w:rPr>
                <w:rFonts w:ascii="Times New Roman" w:hAnsi="Times New Roman"/>
                <w:sz w:val="18"/>
                <w:szCs w:val="18"/>
                <w:lang w:val="uk-UA"/>
              </w:rPr>
              <w:t>.2016 року.</w:t>
            </w:r>
          </w:p>
          <w:p w:rsidR="00261F6E" w:rsidRPr="00B96235" w:rsidRDefault="00DF5929" w:rsidP="00261F6E">
            <w:pPr>
              <w:pStyle w:val="a3"/>
              <w:tabs>
                <w:tab w:val="left" w:pos="0"/>
              </w:tabs>
              <w:autoSpaceDE w:val="0"/>
              <w:ind w:left="33"/>
              <w:jc w:val="both"/>
              <w:rPr>
                <w:rFonts w:ascii="Times New Roman" w:hAnsi="Times New Roman"/>
                <w:sz w:val="18"/>
                <w:szCs w:val="18"/>
                <w:lang w:val="uk-UA"/>
              </w:rPr>
            </w:pPr>
            <w:r w:rsidRPr="00B96235">
              <w:rPr>
                <w:rFonts w:ascii="Times New Roman" w:hAnsi="Times New Roman"/>
                <w:b/>
                <w:i/>
                <w:sz w:val="18"/>
                <w:szCs w:val="18"/>
                <w:lang w:val="uk-UA"/>
              </w:rPr>
              <w:t xml:space="preserve">Проект рішення: </w:t>
            </w:r>
            <w:r w:rsidRPr="00B96235">
              <w:rPr>
                <w:rFonts w:ascii="Times New Roman" w:hAnsi="Times New Roman"/>
                <w:sz w:val="18"/>
                <w:szCs w:val="18"/>
                <w:lang w:val="uk-UA"/>
              </w:rPr>
              <w:t xml:space="preserve">У зв’язку із перейменуванням вулиць відповідно до рішення </w:t>
            </w:r>
            <w:proofErr w:type="spellStart"/>
            <w:r w:rsidRPr="00B96235">
              <w:rPr>
                <w:rFonts w:ascii="Times New Roman" w:hAnsi="Times New Roman"/>
                <w:sz w:val="18"/>
                <w:szCs w:val="18"/>
                <w:lang w:val="uk-UA"/>
              </w:rPr>
              <w:t>Великомихайлівської</w:t>
            </w:r>
            <w:proofErr w:type="spellEnd"/>
            <w:r w:rsidRPr="00B96235">
              <w:rPr>
                <w:rFonts w:ascii="Times New Roman" w:hAnsi="Times New Roman"/>
                <w:sz w:val="18"/>
                <w:szCs w:val="18"/>
                <w:lang w:val="uk-UA"/>
              </w:rPr>
              <w:t xml:space="preserve"> селищної ради № 249-</w:t>
            </w:r>
            <w:r w:rsidRPr="00B96235">
              <w:rPr>
                <w:rFonts w:ascii="Times New Roman" w:hAnsi="Times New Roman"/>
                <w:sz w:val="18"/>
                <w:szCs w:val="18"/>
                <w:lang w:val="en-US"/>
              </w:rPr>
              <w:t>VII</w:t>
            </w:r>
            <w:r w:rsidRPr="00B96235">
              <w:rPr>
                <w:rFonts w:ascii="Times New Roman" w:hAnsi="Times New Roman"/>
                <w:sz w:val="18"/>
                <w:szCs w:val="18"/>
                <w:lang w:val="uk-UA"/>
              </w:rPr>
              <w:t xml:space="preserve"> від 27.05.2016 року «Про перейменування вулиць в населених пунктах </w:t>
            </w:r>
            <w:proofErr w:type="spellStart"/>
            <w:r w:rsidRPr="00B96235">
              <w:rPr>
                <w:rFonts w:ascii="Times New Roman" w:hAnsi="Times New Roman"/>
                <w:sz w:val="18"/>
                <w:szCs w:val="18"/>
                <w:lang w:val="uk-UA"/>
              </w:rPr>
              <w:t>Великомихайлівської</w:t>
            </w:r>
            <w:proofErr w:type="spellEnd"/>
            <w:r w:rsidRPr="00B96235">
              <w:rPr>
                <w:rFonts w:ascii="Times New Roman" w:hAnsi="Times New Roman"/>
                <w:sz w:val="18"/>
                <w:szCs w:val="18"/>
                <w:lang w:val="uk-UA"/>
              </w:rPr>
              <w:t xml:space="preserve"> селищної ради», визначити місцезнаходження </w:t>
            </w:r>
            <w:r w:rsidR="00261F6E" w:rsidRPr="00B96235">
              <w:rPr>
                <w:rFonts w:ascii="Times New Roman" w:hAnsi="Times New Roman"/>
                <w:sz w:val="18"/>
                <w:szCs w:val="18"/>
                <w:lang w:val="uk-UA"/>
              </w:rPr>
              <w:t xml:space="preserve">Товариства за наступною адресою: 67100, Одеська область, </w:t>
            </w:r>
            <w:proofErr w:type="spellStart"/>
            <w:r w:rsidR="00261F6E" w:rsidRPr="00B96235">
              <w:rPr>
                <w:rFonts w:ascii="Times New Roman" w:hAnsi="Times New Roman"/>
                <w:sz w:val="18"/>
                <w:szCs w:val="18"/>
                <w:lang w:val="uk-UA"/>
              </w:rPr>
              <w:t>Великомихайлівський</w:t>
            </w:r>
            <w:proofErr w:type="spellEnd"/>
            <w:r w:rsidR="00261F6E" w:rsidRPr="00B96235">
              <w:rPr>
                <w:rFonts w:ascii="Times New Roman" w:hAnsi="Times New Roman"/>
                <w:sz w:val="18"/>
                <w:szCs w:val="18"/>
                <w:lang w:val="uk-UA"/>
              </w:rPr>
              <w:t xml:space="preserve"> район, селище міського типу Велика </w:t>
            </w:r>
            <w:proofErr w:type="spellStart"/>
            <w:r w:rsidR="00261F6E" w:rsidRPr="00B96235">
              <w:rPr>
                <w:rFonts w:ascii="Times New Roman" w:hAnsi="Times New Roman"/>
                <w:sz w:val="18"/>
                <w:szCs w:val="18"/>
                <w:lang w:val="uk-UA"/>
              </w:rPr>
              <w:t>Михайлівка</w:t>
            </w:r>
            <w:proofErr w:type="spellEnd"/>
            <w:r w:rsidR="00261F6E" w:rsidRPr="00B96235">
              <w:rPr>
                <w:rFonts w:ascii="Times New Roman" w:hAnsi="Times New Roman"/>
                <w:sz w:val="18"/>
                <w:szCs w:val="18"/>
                <w:lang w:val="uk-UA"/>
              </w:rPr>
              <w:t>, вулиця Центральна, будинок 4.</w:t>
            </w:r>
          </w:p>
          <w:p w:rsidR="00C355C9" w:rsidRPr="00B96235" w:rsidRDefault="00F30C44" w:rsidP="00261F6E">
            <w:pPr>
              <w:pStyle w:val="a3"/>
              <w:numPr>
                <w:ilvl w:val="0"/>
                <w:numId w:val="1"/>
              </w:numPr>
              <w:tabs>
                <w:tab w:val="left" w:pos="0"/>
              </w:tabs>
              <w:autoSpaceDE w:val="0"/>
              <w:ind w:left="-109" w:firstLine="0"/>
              <w:jc w:val="both"/>
              <w:rPr>
                <w:rFonts w:ascii="Times New Roman" w:hAnsi="Times New Roman"/>
                <w:sz w:val="18"/>
                <w:szCs w:val="18"/>
                <w:lang w:val="uk-UA"/>
              </w:rPr>
            </w:pPr>
            <w:r w:rsidRPr="00B96235">
              <w:rPr>
                <w:rFonts w:ascii="Times New Roman" w:hAnsi="Times New Roman"/>
                <w:sz w:val="18"/>
                <w:szCs w:val="18"/>
                <w:lang w:val="uk-UA"/>
              </w:rPr>
              <w:t>Внесення змін до Статуту Товариства, шляхом викладення Статуту у новій редакції. Визначення уповноважених осіб для підписання нової редакції Статуту Товариства та внесення запису</w:t>
            </w:r>
            <w:r w:rsidR="00B96235">
              <w:rPr>
                <w:rFonts w:ascii="Times New Roman" w:hAnsi="Times New Roman"/>
                <w:sz w:val="18"/>
                <w:szCs w:val="18"/>
                <w:lang w:val="uk-UA"/>
              </w:rPr>
              <w:t xml:space="preserve"> до Єдиного державного реєстру.</w:t>
            </w:r>
          </w:p>
          <w:p w:rsidR="00261F6E" w:rsidRPr="00B96235" w:rsidRDefault="00261F6E" w:rsidP="00261F6E">
            <w:pPr>
              <w:pStyle w:val="a3"/>
              <w:tabs>
                <w:tab w:val="left" w:pos="0"/>
              </w:tabs>
              <w:autoSpaceDE w:val="0"/>
              <w:ind w:left="-109"/>
              <w:jc w:val="both"/>
              <w:rPr>
                <w:rFonts w:ascii="Times New Roman" w:hAnsi="Times New Roman"/>
                <w:sz w:val="18"/>
                <w:szCs w:val="18"/>
                <w:lang w:val="uk-UA"/>
              </w:rPr>
            </w:pPr>
            <w:r w:rsidRPr="00B96235">
              <w:rPr>
                <w:rFonts w:ascii="Times New Roman" w:hAnsi="Times New Roman"/>
                <w:b/>
                <w:i/>
                <w:sz w:val="18"/>
                <w:szCs w:val="18"/>
                <w:lang w:val="uk-UA"/>
              </w:rPr>
              <w:t>Проект рішення:</w:t>
            </w:r>
            <w:r w:rsidRPr="00B96235">
              <w:rPr>
                <w:rFonts w:ascii="Times New Roman" w:hAnsi="Times New Roman"/>
                <w:sz w:val="18"/>
                <w:szCs w:val="18"/>
                <w:lang w:val="uk-UA"/>
              </w:rPr>
              <w:t xml:space="preserve"> Затвердити Статут Приватного акціонерного товариства «</w:t>
            </w:r>
            <w:proofErr w:type="spellStart"/>
            <w:r w:rsidRPr="00B96235">
              <w:rPr>
                <w:rFonts w:ascii="Times New Roman" w:hAnsi="Times New Roman"/>
                <w:sz w:val="18"/>
                <w:szCs w:val="18"/>
                <w:lang w:val="uk-UA"/>
              </w:rPr>
              <w:t>Великомихайлівське</w:t>
            </w:r>
            <w:proofErr w:type="spellEnd"/>
            <w:r w:rsidRPr="00B96235">
              <w:rPr>
                <w:rFonts w:ascii="Times New Roman" w:hAnsi="Times New Roman"/>
                <w:sz w:val="18"/>
                <w:szCs w:val="18"/>
                <w:lang w:val="uk-UA"/>
              </w:rPr>
              <w:t xml:space="preserve"> автотранспортне підприємство 15141» в  новій редакції. Встановити, що рішення, прийняте загальними зборами акціонерів з цього питання порядку денного, набирає чинності з моменту його державної реєстрації. Уповноважити Голову загальних зборів </w:t>
            </w:r>
            <w:proofErr w:type="spellStart"/>
            <w:r w:rsidRPr="00B96235">
              <w:rPr>
                <w:rFonts w:ascii="Times New Roman" w:hAnsi="Times New Roman"/>
                <w:sz w:val="18"/>
                <w:szCs w:val="18"/>
                <w:lang w:val="uk-UA"/>
              </w:rPr>
              <w:t>Струк</w:t>
            </w:r>
            <w:proofErr w:type="spellEnd"/>
            <w:r w:rsidRPr="00B96235">
              <w:rPr>
                <w:rFonts w:ascii="Times New Roman" w:hAnsi="Times New Roman"/>
                <w:sz w:val="18"/>
                <w:szCs w:val="18"/>
                <w:lang w:val="uk-UA"/>
              </w:rPr>
              <w:t xml:space="preserve"> Геннадія Володимировича та секретаря загальних зборів </w:t>
            </w:r>
            <w:proofErr w:type="spellStart"/>
            <w:r w:rsidRPr="00B96235">
              <w:rPr>
                <w:rFonts w:ascii="Times New Roman" w:hAnsi="Times New Roman"/>
                <w:sz w:val="18"/>
                <w:szCs w:val="18"/>
                <w:lang w:val="uk-UA"/>
              </w:rPr>
              <w:t>Вальт</w:t>
            </w:r>
            <w:proofErr w:type="spellEnd"/>
            <w:r w:rsidRPr="00B96235">
              <w:rPr>
                <w:rFonts w:ascii="Times New Roman" w:hAnsi="Times New Roman"/>
                <w:sz w:val="18"/>
                <w:szCs w:val="18"/>
                <w:lang w:val="uk-UA"/>
              </w:rPr>
              <w:t xml:space="preserve"> </w:t>
            </w:r>
            <w:proofErr w:type="spellStart"/>
            <w:r w:rsidRPr="00B96235">
              <w:rPr>
                <w:rFonts w:ascii="Times New Roman" w:hAnsi="Times New Roman"/>
                <w:sz w:val="18"/>
                <w:szCs w:val="18"/>
                <w:lang w:val="uk-UA"/>
              </w:rPr>
              <w:t>Альону</w:t>
            </w:r>
            <w:proofErr w:type="spellEnd"/>
            <w:r w:rsidRPr="00B96235">
              <w:rPr>
                <w:rFonts w:ascii="Times New Roman" w:hAnsi="Times New Roman"/>
                <w:sz w:val="18"/>
                <w:szCs w:val="18"/>
                <w:lang w:val="uk-UA"/>
              </w:rPr>
              <w:t xml:space="preserve"> Олександрівну підписати від імені акціонерів у новій редакції Статут   Приватного акціонерного товариства «</w:t>
            </w:r>
            <w:proofErr w:type="spellStart"/>
            <w:r w:rsidRPr="00B96235">
              <w:rPr>
                <w:rFonts w:ascii="Times New Roman" w:hAnsi="Times New Roman"/>
                <w:sz w:val="18"/>
                <w:szCs w:val="18"/>
                <w:lang w:val="uk-UA"/>
              </w:rPr>
              <w:t>Великомихайлівське</w:t>
            </w:r>
            <w:proofErr w:type="spellEnd"/>
            <w:r w:rsidRPr="00B96235">
              <w:rPr>
                <w:rFonts w:ascii="Times New Roman" w:hAnsi="Times New Roman"/>
                <w:sz w:val="18"/>
                <w:szCs w:val="18"/>
                <w:lang w:val="uk-UA"/>
              </w:rPr>
              <w:t xml:space="preserve"> автотранспортне підприємство 15141»</w:t>
            </w:r>
            <w:r w:rsidR="00B96235" w:rsidRPr="00B96235">
              <w:rPr>
                <w:rFonts w:ascii="Times New Roman" w:hAnsi="Times New Roman"/>
                <w:sz w:val="18"/>
                <w:szCs w:val="18"/>
                <w:lang w:val="uk-UA"/>
              </w:rPr>
              <w:t xml:space="preserve">.  Доручити Директору чи іншій особі, згідно довіреності провести дії,  необхідні для державної реєстрації нової редакції Статуту Товариства та внесення змін у відомості про </w:t>
            </w:r>
            <w:proofErr w:type="spellStart"/>
            <w:r w:rsidR="00B96235" w:rsidRPr="00B96235">
              <w:rPr>
                <w:rFonts w:ascii="Times New Roman" w:hAnsi="Times New Roman"/>
                <w:sz w:val="18"/>
                <w:szCs w:val="18"/>
                <w:lang w:val="uk-UA"/>
              </w:rPr>
              <w:t>ПрАТ</w:t>
            </w:r>
            <w:proofErr w:type="spellEnd"/>
            <w:r w:rsidR="00B96235" w:rsidRPr="00B96235">
              <w:rPr>
                <w:rFonts w:ascii="Times New Roman" w:hAnsi="Times New Roman"/>
                <w:sz w:val="18"/>
                <w:szCs w:val="18"/>
                <w:lang w:val="uk-UA"/>
              </w:rPr>
              <w:t xml:space="preserve"> «</w:t>
            </w:r>
            <w:proofErr w:type="spellStart"/>
            <w:r w:rsidR="00B96235" w:rsidRPr="00B96235">
              <w:rPr>
                <w:rFonts w:ascii="Times New Roman" w:hAnsi="Times New Roman"/>
                <w:sz w:val="18"/>
                <w:szCs w:val="18"/>
                <w:lang w:val="uk-UA"/>
              </w:rPr>
              <w:t>Великомихайлівське</w:t>
            </w:r>
            <w:proofErr w:type="spellEnd"/>
            <w:r w:rsidR="00B96235" w:rsidRPr="00B96235">
              <w:rPr>
                <w:rFonts w:ascii="Times New Roman" w:hAnsi="Times New Roman"/>
                <w:sz w:val="18"/>
                <w:szCs w:val="18"/>
                <w:lang w:val="uk-UA"/>
              </w:rPr>
              <w:t xml:space="preserve"> АТП 15141», що містяться у Єдиному державному реєстрі.</w:t>
            </w:r>
          </w:p>
          <w:p w:rsidR="00F30C44" w:rsidRPr="00B96235" w:rsidRDefault="00F30C44" w:rsidP="00B96235">
            <w:pPr>
              <w:pStyle w:val="a3"/>
              <w:numPr>
                <w:ilvl w:val="0"/>
                <w:numId w:val="1"/>
              </w:numPr>
              <w:tabs>
                <w:tab w:val="left" w:pos="317"/>
              </w:tabs>
              <w:spacing w:after="0" w:line="240" w:lineRule="auto"/>
              <w:ind w:left="-109" w:firstLine="0"/>
              <w:jc w:val="both"/>
              <w:rPr>
                <w:rFonts w:ascii="Times New Roman" w:hAnsi="Times New Roman"/>
                <w:sz w:val="18"/>
                <w:szCs w:val="18"/>
                <w:lang w:val="uk-UA"/>
              </w:rPr>
            </w:pPr>
            <w:r w:rsidRPr="00B96235">
              <w:rPr>
                <w:rFonts w:ascii="Times New Roman" w:hAnsi="Times New Roman"/>
                <w:sz w:val="18"/>
                <w:szCs w:val="18"/>
                <w:lang w:val="uk-UA"/>
              </w:rPr>
              <w:t>П</w:t>
            </w:r>
            <w:proofErr w:type="spellStart"/>
            <w:r w:rsidRPr="00B96235">
              <w:rPr>
                <w:rFonts w:ascii="Times New Roman" w:hAnsi="Times New Roman"/>
                <w:sz w:val="18"/>
                <w:szCs w:val="18"/>
              </w:rPr>
              <w:t>рийняти</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рішення</w:t>
            </w:r>
            <w:proofErr w:type="spellEnd"/>
            <w:r w:rsidRPr="00B96235">
              <w:rPr>
                <w:rFonts w:ascii="Times New Roman" w:hAnsi="Times New Roman"/>
                <w:sz w:val="18"/>
                <w:szCs w:val="18"/>
              </w:rPr>
              <w:t xml:space="preserve"> про </w:t>
            </w:r>
            <w:proofErr w:type="spellStart"/>
            <w:r w:rsidRPr="00B96235">
              <w:rPr>
                <w:rFonts w:ascii="Times New Roman" w:hAnsi="Times New Roman"/>
                <w:sz w:val="18"/>
                <w:szCs w:val="18"/>
              </w:rPr>
              <w:t>попереднє</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надання</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згоди</w:t>
            </w:r>
            <w:proofErr w:type="spellEnd"/>
            <w:r w:rsidRPr="00B96235">
              <w:rPr>
                <w:rFonts w:ascii="Times New Roman" w:hAnsi="Times New Roman"/>
                <w:sz w:val="18"/>
                <w:szCs w:val="18"/>
              </w:rPr>
              <w:t xml:space="preserve"> на </w:t>
            </w:r>
            <w:proofErr w:type="spellStart"/>
            <w:r w:rsidRPr="00B96235">
              <w:rPr>
                <w:rFonts w:ascii="Times New Roman" w:hAnsi="Times New Roman"/>
                <w:sz w:val="18"/>
                <w:szCs w:val="18"/>
              </w:rPr>
              <w:t>вчинення</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значних</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правочинів</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які</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можуть</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вчинятися</w:t>
            </w:r>
            <w:proofErr w:type="spellEnd"/>
            <w:r w:rsidRPr="00B96235">
              <w:rPr>
                <w:rFonts w:ascii="Times New Roman" w:hAnsi="Times New Roman"/>
                <w:sz w:val="18"/>
                <w:szCs w:val="18"/>
              </w:rPr>
              <w:t xml:space="preserve"> </w:t>
            </w:r>
            <w:r w:rsidRPr="00B96235">
              <w:rPr>
                <w:rFonts w:ascii="Times New Roman" w:hAnsi="Times New Roman"/>
                <w:sz w:val="18"/>
                <w:szCs w:val="18"/>
                <w:lang w:val="uk-UA"/>
              </w:rPr>
              <w:t>Т</w:t>
            </w:r>
            <w:proofErr w:type="spellStart"/>
            <w:r w:rsidRPr="00B96235">
              <w:rPr>
                <w:rFonts w:ascii="Times New Roman" w:hAnsi="Times New Roman"/>
                <w:sz w:val="18"/>
                <w:szCs w:val="18"/>
              </w:rPr>
              <w:t>овариством</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протягом</w:t>
            </w:r>
            <w:proofErr w:type="spellEnd"/>
            <w:r w:rsidRPr="00B96235">
              <w:rPr>
                <w:rFonts w:ascii="Times New Roman" w:hAnsi="Times New Roman"/>
                <w:sz w:val="18"/>
                <w:szCs w:val="18"/>
              </w:rPr>
              <w:t xml:space="preserve"> не </w:t>
            </w:r>
            <w:proofErr w:type="spellStart"/>
            <w:r w:rsidRPr="00B96235">
              <w:rPr>
                <w:rFonts w:ascii="Times New Roman" w:hAnsi="Times New Roman"/>
                <w:sz w:val="18"/>
                <w:szCs w:val="18"/>
              </w:rPr>
              <w:t>більш</w:t>
            </w:r>
            <w:proofErr w:type="spellEnd"/>
            <w:r w:rsidRPr="00B96235">
              <w:rPr>
                <w:rFonts w:ascii="Times New Roman" w:hAnsi="Times New Roman"/>
                <w:sz w:val="18"/>
                <w:szCs w:val="18"/>
              </w:rPr>
              <w:t xml:space="preserve"> як одного року </w:t>
            </w:r>
            <w:proofErr w:type="spellStart"/>
            <w:r w:rsidRPr="00B96235">
              <w:rPr>
                <w:rFonts w:ascii="Times New Roman" w:hAnsi="Times New Roman"/>
                <w:sz w:val="18"/>
                <w:szCs w:val="18"/>
              </w:rPr>
              <w:t>з</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дати</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прийняття</w:t>
            </w:r>
            <w:proofErr w:type="spellEnd"/>
            <w:r w:rsidRPr="00B96235">
              <w:rPr>
                <w:rFonts w:ascii="Times New Roman" w:hAnsi="Times New Roman"/>
                <w:sz w:val="18"/>
                <w:szCs w:val="18"/>
              </w:rPr>
              <w:t xml:space="preserve"> </w:t>
            </w:r>
            <w:proofErr w:type="spellStart"/>
            <w:r w:rsidRPr="00B96235">
              <w:rPr>
                <w:rFonts w:ascii="Times New Roman" w:hAnsi="Times New Roman"/>
                <w:sz w:val="18"/>
                <w:szCs w:val="18"/>
              </w:rPr>
              <w:t>рішення</w:t>
            </w:r>
            <w:proofErr w:type="spellEnd"/>
            <w:r w:rsidRPr="00B96235">
              <w:rPr>
                <w:rFonts w:ascii="Times New Roman" w:hAnsi="Times New Roman"/>
                <w:sz w:val="18"/>
                <w:szCs w:val="18"/>
                <w:lang w:val="uk-UA"/>
              </w:rPr>
              <w:t>.</w:t>
            </w:r>
          </w:p>
          <w:p w:rsidR="00B96235" w:rsidRPr="00B96235" w:rsidRDefault="00B96235" w:rsidP="00B96235">
            <w:pPr>
              <w:pStyle w:val="a3"/>
              <w:tabs>
                <w:tab w:val="left" w:pos="317"/>
              </w:tabs>
              <w:spacing w:after="0" w:line="240" w:lineRule="auto"/>
              <w:ind w:left="-109"/>
              <w:jc w:val="both"/>
              <w:rPr>
                <w:rFonts w:ascii="Times New Roman" w:hAnsi="Times New Roman"/>
                <w:sz w:val="18"/>
                <w:szCs w:val="18"/>
                <w:lang w:val="uk-UA"/>
              </w:rPr>
            </w:pPr>
            <w:r w:rsidRPr="00B96235">
              <w:rPr>
                <w:rFonts w:ascii="Times New Roman" w:hAnsi="Times New Roman"/>
                <w:b/>
                <w:i/>
                <w:sz w:val="18"/>
                <w:szCs w:val="18"/>
                <w:lang w:val="uk-UA"/>
              </w:rPr>
              <w:t>Проект рішення:</w:t>
            </w:r>
            <w:r w:rsidRPr="00B96235">
              <w:rPr>
                <w:rFonts w:ascii="Times New Roman" w:hAnsi="Times New Roman"/>
                <w:sz w:val="18"/>
                <w:szCs w:val="18"/>
                <w:lang w:val="uk-UA"/>
              </w:rPr>
              <w:t xml:space="preserve"> Не розглядати зазначене питання порядку денного.</w:t>
            </w:r>
          </w:p>
        </w:tc>
      </w:tr>
      <w:tr w:rsidR="00F30C44" w:rsidRPr="00B96235" w:rsidTr="00B96235">
        <w:tc>
          <w:tcPr>
            <w:tcW w:w="3261" w:type="dxa"/>
            <w:tcBorders>
              <w:top w:val="single" w:sz="4" w:space="0" w:color="auto"/>
              <w:left w:val="single" w:sz="4" w:space="0" w:color="auto"/>
              <w:bottom w:val="single" w:sz="4" w:space="0" w:color="auto"/>
              <w:right w:val="single" w:sz="4" w:space="0" w:color="auto"/>
            </w:tcBorders>
            <w:vAlign w:val="center"/>
          </w:tcPr>
          <w:p w:rsidR="00F30C44" w:rsidRPr="00B96235" w:rsidRDefault="00F30C44" w:rsidP="00E50C20">
            <w:pPr>
              <w:rPr>
                <w:b/>
                <w:color w:val="000000"/>
                <w:sz w:val="18"/>
                <w:szCs w:val="18"/>
              </w:rPr>
            </w:pPr>
            <w:r w:rsidRPr="00B96235">
              <w:rPr>
                <w:color w:val="000000"/>
                <w:sz w:val="18"/>
                <w:szCs w:val="18"/>
              </w:rPr>
              <w:lastRenderedPageBreak/>
              <w:t>Порядок ознайомлення акціонерів з матеріалами, з якими вони можуть ознайомитися під час підготовки до загальних зборів.</w:t>
            </w:r>
          </w:p>
        </w:tc>
        <w:tc>
          <w:tcPr>
            <w:tcW w:w="8079" w:type="dxa"/>
            <w:tcBorders>
              <w:top w:val="single" w:sz="4" w:space="0" w:color="auto"/>
              <w:left w:val="single" w:sz="4" w:space="0" w:color="auto"/>
              <w:bottom w:val="single" w:sz="4" w:space="0" w:color="auto"/>
              <w:right w:val="single" w:sz="4" w:space="0" w:color="auto"/>
            </w:tcBorders>
          </w:tcPr>
          <w:p w:rsidR="00F30C44" w:rsidRPr="00B96235" w:rsidRDefault="00F30C44" w:rsidP="00E50C20">
            <w:pPr>
              <w:pStyle w:val="HTML"/>
              <w:shd w:val="clear" w:color="auto" w:fill="FFFFFF"/>
              <w:jc w:val="both"/>
              <w:rPr>
                <w:rFonts w:ascii="Times New Roman" w:hAnsi="Times New Roman" w:cs="Times New Roman"/>
                <w:sz w:val="18"/>
                <w:szCs w:val="18"/>
              </w:rPr>
            </w:pPr>
            <w:r w:rsidRPr="00B96235">
              <w:rPr>
                <w:rFonts w:ascii="Times New Roman" w:hAnsi="Times New Roman" w:cs="Times New Roman"/>
                <w:sz w:val="18"/>
                <w:szCs w:val="18"/>
              </w:rPr>
              <w:t xml:space="preserve">З документами (матеріалами) до проекту порядку денного, під час підготовки до загальних зборів, акціонери Товариства можуть, за окремим запитом, ознайомитись у робочі дні з 09:00 до 17:00 (перерва: 13:00-14:00) за адресою: Одеська область, </w:t>
            </w:r>
            <w:proofErr w:type="spellStart"/>
            <w:r w:rsidRPr="00B96235">
              <w:rPr>
                <w:rFonts w:ascii="Times New Roman" w:hAnsi="Times New Roman" w:cs="Times New Roman"/>
                <w:sz w:val="18"/>
                <w:szCs w:val="18"/>
              </w:rPr>
              <w:t>Великомихайлівський</w:t>
            </w:r>
            <w:proofErr w:type="spellEnd"/>
            <w:r w:rsidRPr="00B96235">
              <w:rPr>
                <w:rFonts w:ascii="Times New Roman" w:hAnsi="Times New Roman" w:cs="Times New Roman"/>
                <w:sz w:val="18"/>
                <w:szCs w:val="18"/>
              </w:rPr>
              <w:t xml:space="preserve"> район, </w:t>
            </w:r>
            <w:proofErr w:type="spellStart"/>
            <w:r w:rsidRPr="00B96235">
              <w:rPr>
                <w:rFonts w:ascii="Times New Roman" w:hAnsi="Times New Roman" w:cs="Times New Roman"/>
                <w:sz w:val="18"/>
                <w:szCs w:val="18"/>
              </w:rPr>
              <w:t>смт</w:t>
            </w:r>
            <w:proofErr w:type="spellEnd"/>
            <w:r w:rsidRPr="00B96235">
              <w:rPr>
                <w:rFonts w:ascii="Times New Roman" w:hAnsi="Times New Roman" w:cs="Times New Roman"/>
                <w:sz w:val="18"/>
                <w:szCs w:val="18"/>
              </w:rPr>
              <w:t xml:space="preserve"> Велика </w:t>
            </w:r>
            <w:proofErr w:type="spellStart"/>
            <w:r w:rsidRPr="00B96235">
              <w:rPr>
                <w:rFonts w:ascii="Times New Roman" w:hAnsi="Times New Roman" w:cs="Times New Roman"/>
                <w:sz w:val="18"/>
                <w:szCs w:val="18"/>
              </w:rPr>
              <w:t>Михайлівка</w:t>
            </w:r>
            <w:proofErr w:type="spellEnd"/>
            <w:r w:rsidRPr="00B96235">
              <w:rPr>
                <w:rFonts w:ascii="Times New Roman" w:hAnsi="Times New Roman" w:cs="Times New Roman"/>
                <w:sz w:val="18"/>
                <w:szCs w:val="18"/>
              </w:rPr>
              <w:t>, вул. Леніна, 4, кабінет</w:t>
            </w:r>
            <w:r w:rsidR="00081C1B" w:rsidRPr="00B96235">
              <w:rPr>
                <w:rFonts w:ascii="Times New Roman" w:hAnsi="Times New Roman" w:cs="Times New Roman"/>
                <w:sz w:val="18"/>
                <w:szCs w:val="18"/>
              </w:rPr>
              <w:t xml:space="preserve"> № 1</w:t>
            </w:r>
            <w:r w:rsidRPr="00B96235">
              <w:rPr>
                <w:rFonts w:ascii="Times New Roman" w:hAnsi="Times New Roman" w:cs="Times New Roman"/>
                <w:sz w:val="18"/>
                <w:szCs w:val="18"/>
              </w:rPr>
              <w:t xml:space="preserve"> диспетчера на 1-му поверсі </w:t>
            </w:r>
            <w:proofErr w:type="spellStart"/>
            <w:r w:rsidRPr="00B96235">
              <w:rPr>
                <w:rFonts w:ascii="Times New Roman" w:hAnsi="Times New Roman" w:cs="Times New Roman"/>
                <w:sz w:val="18"/>
                <w:szCs w:val="18"/>
              </w:rPr>
              <w:t>адмінбудівлі</w:t>
            </w:r>
            <w:proofErr w:type="spellEnd"/>
            <w:r w:rsidRPr="00B96235">
              <w:rPr>
                <w:rFonts w:ascii="Times New Roman" w:hAnsi="Times New Roman" w:cs="Times New Roman"/>
                <w:sz w:val="18"/>
                <w:szCs w:val="18"/>
              </w:rPr>
              <w:t>. В день проведення загальних зборів</w:t>
            </w:r>
            <w:r w:rsidRPr="00B96235">
              <w:rPr>
                <w:rFonts w:ascii="Times New Roman" w:hAnsi="Times New Roman" w:cs="Times New Roman"/>
                <w:bCs/>
                <w:sz w:val="18"/>
                <w:szCs w:val="18"/>
              </w:rPr>
              <w:t xml:space="preserve"> ознайомлення акціонерів з документами, необхідними для прийняття рішень з питань порядку денного відбувається у місці проведення загальних зборів акціонерів. П</w:t>
            </w:r>
            <w:r w:rsidRPr="00B96235">
              <w:rPr>
                <w:rFonts w:ascii="Times New Roman" w:hAnsi="Times New Roman" w:cs="Times New Roman"/>
                <w:sz w:val="18"/>
                <w:szCs w:val="18"/>
              </w:rPr>
              <w:t xml:space="preserve">осадова особа Товариства, відповідальна за порядок ознайомлення акціонерів з документами – Директор </w:t>
            </w:r>
            <w:proofErr w:type="spellStart"/>
            <w:r w:rsidRPr="00B96235">
              <w:rPr>
                <w:rFonts w:ascii="Times New Roman" w:hAnsi="Times New Roman" w:cs="Times New Roman"/>
                <w:sz w:val="18"/>
                <w:szCs w:val="18"/>
              </w:rPr>
              <w:t>Струк</w:t>
            </w:r>
            <w:proofErr w:type="spellEnd"/>
            <w:r w:rsidRPr="00B96235">
              <w:rPr>
                <w:rFonts w:ascii="Times New Roman" w:hAnsi="Times New Roman" w:cs="Times New Roman"/>
                <w:sz w:val="18"/>
                <w:szCs w:val="18"/>
              </w:rPr>
              <w:t xml:space="preserve"> Геннадій Володимирович.</w:t>
            </w:r>
          </w:p>
          <w:p w:rsidR="00F30C44" w:rsidRPr="00B96235" w:rsidRDefault="00F30C44" w:rsidP="00E50C20">
            <w:pPr>
              <w:pStyle w:val="HTML"/>
              <w:shd w:val="clear" w:color="auto" w:fill="FFFFFF"/>
              <w:jc w:val="both"/>
              <w:rPr>
                <w:rFonts w:ascii="Times New Roman" w:hAnsi="Times New Roman" w:cs="Times New Roman"/>
                <w:b/>
                <w:sz w:val="18"/>
                <w:szCs w:val="18"/>
              </w:rPr>
            </w:pPr>
            <w:r w:rsidRPr="00B96235">
              <w:rPr>
                <w:rFonts w:ascii="Times New Roman" w:hAnsi="Times New Roman" w:cs="Times New Roman"/>
                <w:sz w:val="18"/>
                <w:szCs w:val="18"/>
              </w:rPr>
              <w:t xml:space="preserve">Адреса </w:t>
            </w:r>
            <w:proofErr w:type="spellStart"/>
            <w:r w:rsidRPr="00B96235">
              <w:rPr>
                <w:rFonts w:ascii="Times New Roman" w:hAnsi="Times New Roman" w:cs="Times New Roman"/>
                <w:sz w:val="18"/>
                <w:szCs w:val="18"/>
              </w:rPr>
              <w:t>веб-сайту</w:t>
            </w:r>
            <w:proofErr w:type="spellEnd"/>
            <w:r w:rsidRPr="00B96235">
              <w:rPr>
                <w:rFonts w:ascii="Times New Roman" w:hAnsi="Times New Roman" w:cs="Times New Roman"/>
                <w:sz w:val="18"/>
                <w:szCs w:val="18"/>
              </w:rPr>
              <w:t>, на якому розміщена інформація з проектом рішень щодо кожного з питань, включених до проекту порядку денного velikomihaylivske-atp-15141.pat.ua.</w:t>
            </w:r>
          </w:p>
        </w:tc>
      </w:tr>
    </w:tbl>
    <w:p w:rsidR="00F30C44" w:rsidRPr="0012756C" w:rsidRDefault="00F30C44" w:rsidP="00F30C44">
      <w:pPr>
        <w:pStyle w:val="1"/>
        <w:shd w:val="clear" w:color="auto" w:fill="FFFFFF"/>
        <w:tabs>
          <w:tab w:val="left" w:pos="284"/>
          <w:tab w:val="left" w:pos="336"/>
          <w:tab w:val="left" w:pos="360"/>
        </w:tabs>
        <w:ind w:firstLine="181"/>
        <w:jc w:val="both"/>
        <w:rPr>
          <w:sz w:val="19"/>
          <w:szCs w:val="19"/>
          <w:lang w:val="uk-UA"/>
        </w:rPr>
      </w:pPr>
      <w:r w:rsidRPr="0012756C">
        <w:rPr>
          <w:sz w:val="19"/>
          <w:szCs w:val="19"/>
          <w:lang w:val="uk-UA"/>
        </w:rPr>
        <w:tab/>
      </w:r>
      <w:r w:rsidRPr="0012756C">
        <w:rPr>
          <w:sz w:val="19"/>
          <w:szCs w:val="19"/>
          <w:lang w:val="uk-UA"/>
        </w:rPr>
        <w:tab/>
      </w:r>
      <w:r w:rsidRPr="0012756C">
        <w:rPr>
          <w:sz w:val="19"/>
          <w:szCs w:val="19"/>
          <w:lang w:val="uk-UA"/>
        </w:rPr>
        <w:tab/>
      </w:r>
      <w:r w:rsidRPr="0012756C">
        <w:rPr>
          <w:sz w:val="19"/>
          <w:szCs w:val="19"/>
          <w:lang w:val="uk-UA"/>
        </w:rPr>
        <w:tab/>
        <w:t xml:space="preserve">Для участі у зборах акціонерам необхідно мати документ, що посвідчує особу (відповідно до чинного законодавства), а представникам акціонерів – документ, що посвідчує особу (відповідно до чинного законодавства) та належним чином оформлену довіреність. </w:t>
      </w:r>
    </w:p>
    <w:tbl>
      <w:tblPr>
        <w:tblpPr w:leftFromText="180" w:rightFromText="180" w:vertAnchor="text" w:tblpXSpec="center"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tblGrid>
      <w:tr w:rsidR="00F30C44" w:rsidRPr="00B96235" w:rsidTr="00B96235">
        <w:trPr>
          <w:trHeight w:val="270"/>
        </w:trPr>
        <w:tc>
          <w:tcPr>
            <w:tcW w:w="8613" w:type="dxa"/>
            <w:gridSpan w:val="3"/>
            <w:shd w:val="clear" w:color="auto" w:fill="auto"/>
            <w:vAlign w:val="center"/>
          </w:tcPr>
          <w:p w:rsidR="00F30C44" w:rsidRPr="00B96235" w:rsidRDefault="00F30C44" w:rsidP="00E50C20">
            <w:pPr>
              <w:jc w:val="center"/>
              <w:rPr>
                <w:b/>
                <w:bCs/>
                <w:sz w:val="17"/>
                <w:szCs w:val="17"/>
              </w:rPr>
            </w:pPr>
            <w:r w:rsidRPr="00B96235">
              <w:rPr>
                <w:b/>
                <w:bCs/>
                <w:sz w:val="17"/>
                <w:szCs w:val="17"/>
              </w:rPr>
              <w:t>Основні показники фінансово-господарської діяльності Товариства (</w:t>
            </w:r>
            <w:proofErr w:type="spellStart"/>
            <w:r w:rsidRPr="00B96235">
              <w:rPr>
                <w:b/>
                <w:bCs/>
                <w:sz w:val="17"/>
                <w:szCs w:val="17"/>
              </w:rPr>
              <w:t>тис.грн</w:t>
            </w:r>
            <w:proofErr w:type="spellEnd"/>
            <w:r w:rsidRPr="00B96235">
              <w:rPr>
                <w:b/>
                <w:bCs/>
                <w:sz w:val="17"/>
                <w:szCs w:val="17"/>
              </w:rPr>
              <w:t>.)</w:t>
            </w:r>
          </w:p>
        </w:tc>
      </w:tr>
      <w:tr w:rsidR="00F30C44" w:rsidRPr="00B96235" w:rsidTr="00B96235">
        <w:trPr>
          <w:trHeight w:val="112"/>
        </w:trPr>
        <w:tc>
          <w:tcPr>
            <w:tcW w:w="5495" w:type="dxa"/>
            <w:vMerge w:val="restart"/>
            <w:shd w:val="clear" w:color="auto" w:fill="auto"/>
            <w:noWrap/>
            <w:vAlign w:val="center"/>
          </w:tcPr>
          <w:p w:rsidR="00F30C44" w:rsidRPr="00B96235" w:rsidRDefault="00F30C44" w:rsidP="00E50C20">
            <w:pPr>
              <w:jc w:val="center"/>
              <w:rPr>
                <w:sz w:val="17"/>
                <w:szCs w:val="17"/>
              </w:rPr>
            </w:pPr>
            <w:r w:rsidRPr="00B96235">
              <w:rPr>
                <w:sz w:val="17"/>
                <w:szCs w:val="17"/>
              </w:rPr>
              <w:t>Найменування показника</w:t>
            </w:r>
          </w:p>
        </w:tc>
        <w:tc>
          <w:tcPr>
            <w:tcW w:w="3118" w:type="dxa"/>
            <w:gridSpan w:val="2"/>
            <w:shd w:val="clear" w:color="auto" w:fill="auto"/>
            <w:vAlign w:val="center"/>
          </w:tcPr>
          <w:p w:rsidR="00F30C44" w:rsidRPr="00B96235" w:rsidRDefault="00F30C44" w:rsidP="00E50C20">
            <w:pPr>
              <w:jc w:val="center"/>
              <w:rPr>
                <w:sz w:val="17"/>
                <w:szCs w:val="17"/>
              </w:rPr>
            </w:pPr>
            <w:r w:rsidRPr="00B96235">
              <w:rPr>
                <w:sz w:val="17"/>
                <w:szCs w:val="17"/>
              </w:rPr>
              <w:t>Період</w:t>
            </w:r>
          </w:p>
        </w:tc>
      </w:tr>
      <w:tr w:rsidR="00F30C44" w:rsidRPr="00B96235" w:rsidTr="00B96235">
        <w:trPr>
          <w:trHeight w:val="46"/>
        </w:trPr>
        <w:tc>
          <w:tcPr>
            <w:tcW w:w="5495" w:type="dxa"/>
            <w:vMerge/>
            <w:vAlign w:val="center"/>
          </w:tcPr>
          <w:p w:rsidR="00F30C44" w:rsidRPr="00B96235" w:rsidRDefault="00F30C44" w:rsidP="00E50C20">
            <w:pPr>
              <w:rPr>
                <w:sz w:val="17"/>
                <w:szCs w:val="17"/>
              </w:rPr>
            </w:pPr>
          </w:p>
        </w:tc>
        <w:tc>
          <w:tcPr>
            <w:tcW w:w="1417" w:type="dxa"/>
            <w:shd w:val="clear" w:color="auto" w:fill="auto"/>
            <w:noWrap/>
            <w:vAlign w:val="center"/>
          </w:tcPr>
          <w:p w:rsidR="00F30C44" w:rsidRPr="00B96235" w:rsidRDefault="00F30C44" w:rsidP="00E50C20">
            <w:pPr>
              <w:jc w:val="center"/>
              <w:rPr>
                <w:sz w:val="17"/>
                <w:szCs w:val="17"/>
                <w:lang w:val="en-US"/>
              </w:rPr>
            </w:pPr>
            <w:r w:rsidRPr="00B96235">
              <w:rPr>
                <w:sz w:val="17"/>
                <w:szCs w:val="17"/>
              </w:rPr>
              <w:t>Звітний</w:t>
            </w:r>
            <w:r w:rsidRPr="00B96235">
              <w:rPr>
                <w:bCs/>
                <w:sz w:val="17"/>
                <w:szCs w:val="17"/>
              </w:rPr>
              <w:t xml:space="preserve"> 2016</w:t>
            </w:r>
          </w:p>
        </w:tc>
        <w:tc>
          <w:tcPr>
            <w:tcW w:w="1701" w:type="dxa"/>
            <w:shd w:val="clear" w:color="auto" w:fill="auto"/>
            <w:noWrap/>
            <w:vAlign w:val="center"/>
          </w:tcPr>
          <w:p w:rsidR="00F30C44" w:rsidRPr="00B96235" w:rsidRDefault="00F30C44" w:rsidP="00E50C20">
            <w:pPr>
              <w:jc w:val="center"/>
              <w:rPr>
                <w:sz w:val="17"/>
                <w:szCs w:val="17"/>
                <w:lang w:val="en-US"/>
              </w:rPr>
            </w:pPr>
            <w:r w:rsidRPr="00B96235">
              <w:rPr>
                <w:sz w:val="17"/>
                <w:szCs w:val="17"/>
              </w:rPr>
              <w:t xml:space="preserve">Попередній </w:t>
            </w:r>
            <w:r w:rsidRPr="00B96235">
              <w:rPr>
                <w:bCs/>
                <w:sz w:val="17"/>
                <w:szCs w:val="17"/>
              </w:rPr>
              <w:t>2015</w:t>
            </w:r>
          </w:p>
        </w:tc>
      </w:tr>
      <w:tr w:rsidR="00F30C44" w:rsidRPr="00B96235" w:rsidTr="00B96235">
        <w:trPr>
          <w:trHeight w:val="103"/>
        </w:trPr>
        <w:tc>
          <w:tcPr>
            <w:tcW w:w="5495" w:type="dxa"/>
            <w:shd w:val="clear" w:color="auto" w:fill="auto"/>
          </w:tcPr>
          <w:p w:rsidR="00F30C44" w:rsidRPr="00B96235" w:rsidRDefault="00F30C44" w:rsidP="00E50C20">
            <w:pPr>
              <w:rPr>
                <w:sz w:val="17"/>
                <w:szCs w:val="17"/>
              </w:rPr>
            </w:pPr>
            <w:r w:rsidRPr="00B96235">
              <w:rPr>
                <w:sz w:val="17"/>
                <w:szCs w:val="17"/>
              </w:rPr>
              <w:t>Усього активів</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81,8</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86,4</w:t>
            </w:r>
          </w:p>
        </w:tc>
      </w:tr>
      <w:tr w:rsidR="00F30C44" w:rsidRPr="00B96235" w:rsidTr="00B96235">
        <w:trPr>
          <w:trHeight w:val="56"/>
        </w:trPr>
        <w:tc>
          <w:tcPr>
            <w:tcW w:w="5495" w:type="dxa"/>
            <w:shd w:val="clear" w:color="auto" w:fill="auto"/>
          </w:tcPr>
          <w:p w:rsidR="00F30C44" w:rsidRPr="00B96235" w:rsidRDefault="00F30C44" w:rsidP="00E50C20">
            <w:pPr>
              <w:rPr>
                <w:sz w:val="17"/>
                <w:szCs w:val="17"/>
              </w:rPr>
            </w:pPr>
            <w:r w:rsidRPr="00B96235">
              <w:rPr>
                <w:sz w:val="17"/>
                <w:szCs w:val="17"/>
              </w:rPr>
              <w:t>Основні засоби</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16,0</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16,0</w:t>
            </w:r>
          </w:p>
        </w:tc>
      </w:tr>
      <w:tr w:rsidR="00F30C44" w:rsidRPr="00B96235" w:rsidTr="00B96235">
        <w:trPr>
          <w:trHeight w:val="56"/>
        </w:trPr>
        <w:tc>
          <w:tcPr>
            <w:tcW w:w="5495" w:type="dxa"/>
            <w:shd w:val="clear" w:color="auto" w:fill="auto"/>
          </w:tcPr>
          <w:p w:rsidR="00F30C44" w:rsidRPr="00B96235" w:rsidRDefault="00F30C44" w:rsidP="00E50C20">
            <w:pPr>
              <w:rPr>
                <w:sz w:val="17"/>
                <w:szCs w:val="17"/>
              </w:rPr>
            </w:pPr>
            <w:r w:rsidRPr="00B96235">
              <w:rPr>
                <w:sz w:val="17"/>
                <w:szCs w:val="17"/>
              </w:rPr>
              <w:t>Довгострокові фінансові інвестиції</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w:t>
            </w:r>
          </w:p>
        </w:tc>
      </w:tr>
      <w:tr w:rsidR="00F30C44" w:rsidRPr="00B96235" w:rsidTr="00B96235">
        <w:trPr>
          <w:trHeight w:val="51"/>
        </w:trPr>
        <w:tc>
          <w:tcPr>
            <w:tcW w:w="5495" w:type="dxa"/>
            <w:shd w:val="clear" w:color="auto" w:fill="auto"/>
          </w:tcPr>
          <w:p w:rsidR="00F30C44" w:rsidRPr="00B96235" w:rsidRDefault="00F30C44" w:rsidP="00E50C20">
            <w:pPr>
              <w:rPr>
                <w:sz w:val="17"/>
                <w:szCs w:val="17"/>
              </w:rPr>
            </w:pPr>
            <w:r w:rsidRPr="00B96235">
              <w:rPr>
                <w:sz w:val="17"/>
                <w:szCs w:val="17"/>
              </w:rPr>
              <w:t>Запаси</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2,9</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2,9</w:t>
            </w:r>
          </w:p>
        </w:tc>
      </w:tr>
      <w:tr w:rsidR="00F30C44" w:rsidRPr="00B96235" w:rsidTr="00B96235">
        <w:trPr>
          <w:trHeight w:val="135"/>
        </w:trPr>
        <w:tc>
          <w:tcPr>
            <w:tcW w:w="5495" w:type="dxa"/>
            <w:shd w:val="clear" w:color="auto" w:fill="auto"/>
          </w:tcPr>
          <w:p w:rsidR="00F30C44" w:rsidRPr="00B96235" w:rsidRDefault="00F30C44" w:rsidP="00E50C20">
            <w:pPr>
              <w:rPr>
                <w:sz w:val="17"/>
                <w:szCs w:val="17"/>
              </w:rPr>
            </w:pPr>
            <w:r w:rsidRPr="00B96235">
              <w:rPr>
                <w:sz w:val="17"/>
                <w:szCs w:val="17"/>
              </w:rPr>
              <w:t>Сумарна дебіторська заборгованість</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48,8</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48,4</w:t>
            </w:r>
          </w:p>
        </w:tc>
      </w:tr>
      <w:tr w:rsidR="00F30C44" w:rsidRPr="00B96235" w:rsidTr="00B96235">
        <w:trPr>
          <w:trHeight w:val="112"/>
        </w:trPr>
        <w:tc>
          <w:tcPr>
            <w:tcW w:w="5495" w:type="dxa"/>
            <w:shd w:val="clear" w:color="auto" w:fill="auto"/>
          </w:tcPr>
          <w:p w:rsidR="00F30C44" w:rsidRPr="00B96235" w:rsidRDefault="00F30C44" w:rsidP="00E50C20">
            <w:pPr>
              <w:rPr>
                <w:sz w:val="17"/>
                <w:szCs w:val="17"/>
              </w:rPr>
            </w:pPr>
            <w:r w:rsidRPr="00B96235">
              <w:rPr>
                <w:sz w:val="17"/>
                <w:szCs w:val="17"/>
              </w:rPr>
              <w:t xml:space="preserve">Грошові кошти та їх еквіваленти </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14,1</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19,1</w:t>
            </w:r>
          </w:p>
        </w:tc>
      </w:tr>
      <w:tr w:rsidR="00F30C44" w:rsidRPr="00B96235" w:rsidTr="00B96235">
        <w:trPr>
          <w:trHeight w:val="56"/>
        </w:trPr>
        <w:tc>
          <w:tcPr>
            <w:tcW w:w="5495" w:type="dxa"/>
            <w:shd w:val="clear" w:color="auto" w:fill="auto"/>
          </w:tcPr>
          <w:p w:rsidR="00F30C44" w:rsidRPr="00B96235" w:rsidRDefault="00F30C44" w:rsidP="00E50C20">
            <w:pPr>
              <w:rPr>
                <w:sz w:val="17"/>
                <w:szCs w:val="17"/>
              </w:rPr>
            </w:pPr>
            <w:r w:rsidRPr="00B96235">
              <w:rPr>
                <w:sz w:val="17"/>
                <w:szCs w:val="17"/>
              </w:rPr>
              <w:t xml:space="preserve">Нерозподілений прибуток (непокритий збиток) </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(947,1)</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(1013,3)</w:t>
            </w:r>
          </w:p>
        </w:tc>
      </w:tr>
      <w:tr w:rsidR="00F30C44" w:rsidRPr="00B96235" w:rsidTr="00B96235">
        <w:trPr>
          <w:trHeight w:val="51"/>
        </w:trPr>
        <w:tc>
          <w:tcPr>
            <w:tcW w:w="5495" w:type="dxa"/>
            <w:shd w:val="clear" w:color="auto" w:fill="auto"/>
          </w:tcPr>
          <w:p w:rsidR="00F30C44" w:rsidRPr="00B96235" w:rsidRDefault="00F30C44" w:rsidP="00E50C20">
            <w:pPr>
              <w:rPr>
                <w:sz w:val="17"/>
                <w:szCs w:val="17"/>
              </w:rPr>
            </w:pPr>
            <w:r w:rsidRPr="00B96235">
              <w:rPr>
                <w:sz w:val="17"/>
                <w:szCs w:val="17"/>
              </w:rPr>
              <w:t>Власний капітал (тис. грн.)</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(826,3)</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(892,5)</w:t>
            </w:r>
          </w:p>
        </w:tc>
      </w:tr>
      <w:tr w:rsidR="00F30C44" w:rsidRPr="00B96235" w:rsidTr="00B96235">
        <w:trPr>
          <w:trHeight w:val="51"/>
        </w:trPr>
        <w:tc>
          <w:tcPr>
            <w:tcW w:w="5495" w:type="dxa"/>
            <w:shd w:val="clear" w:color="auto" w:fill="auto"/>
          </w:tcPr>
          <w:p w:rsidR="00F30C44" w:rsidRPr="00B96235" w:rsidRDefault="00F30C44" w:rsidP="00E50C20">
            <w:pPr>
              <w:rPr>
                <w:sz w:val="17"/>
                <w:szCs w:val="17"/>
              </w:rPr>
            </w:pPr>
            <w:r w:rsidRPr="00B96235">
              <w:rPr>
                <w:sz w:val="17"/>
                <w:szCs w:val="17"/>
              </w:rPr>
              <w:t>Статутний капітал (тис. грн.)</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86,3</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86,3</w:t>
            </w:r>
          </w:p>
        </w:tc>
      </w:tr>
      <w:tr w:rsidR="00F30C44" w:rsidRPr="00B96235" w:rsidTr="00B96235">
        <w:trPr>
          <w:trHeight w:val="112"/>
        </w:trPr>
        <w:tc>
          <w:tcPr>
            <w:tcW w:w="5495" w:type="dxa"/>
            <w:shd w:val="clear" w:color="auto" w:fill="auto"/>
          </w:tcPr>
          <w:p w:rsidR="00F30C44" w:rsidRPr="00B96235" w:rsidRDefault="00F30C44" w:rsidP="00E50C20">
            <w:pPr>
              <w:rPr>
                <w:sz w:val="17"/>
                <w:szCs w:val="17"/>
              </w:rPr>
            </w:pPr>
            <w:r w:rsidRPr="00B96235">
              <w:rPr>
                <w:sz w:val="17"/>
                <w:szCs w:val="17"/>
              </w:rPr>
              <w:t xml:space="preserve">Довгострокові зобов'язання </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w:t>
            </w:r>
          </w:p>
        </w:tc>
      </w:tr>
      <w:tr w:rsidR="00F30C44" w:rsidRPr="00B96235" w:rsidTr="00B96235">
        <w:trPr>
          <w:trHeight w:val="51"/>
        </w:trPr>
        <w:tc>
          <w:tcPr>
            <w:tcW w:w="5495" w:type="dxa"/>
            <w:shd w:val="clear" w:color="auto" w:fill="auto"/>
          </w:tcPr>
          <w:p w:rsidR="00F30C44" w:rsidRPr="00B96235" w:rsidRDefault="00F30C44" w:rsidP="00E50C20">
            <w:pPr>
              <w:rPr>
                <w:sz w:val="17"/>
                <w:szCs w:val="17"/>
              </w:rPr>
            </w:pPr>
            <w:r w:rsidRPr="00B96235">
              <w:rPr>
                <w:sz w:val="17"/>
                <w:szCs w:val="17"/>
              </w:rPr>
              <w:t xml:space="preserve">Поточні зобов'язання </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908,1</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978,9</w:t>
            </w:r>
          </w:p>
        </w:tc>
      </w:tr>
      <w:tr w:rsidR="00F30C44" w:rsidRPr="00B96235" w:rsidTr="00B96235">
        <w:trPr>
          <w:trHeight w:val="69"/>
        </w:trPr>
        <w:tc>
          <w:tcPr>
            <w:tcW w:w="5495" w:type="dxa"/>
            <w:shd w:val="clear" w:color="auto" w:fill="auto"/>
          </w:tcPr>
          <w:p w:rsidR="00F30C44" w:rsidRPr="00B96235" w:rsidRDefault="00F30C44" w:rsidP="00E50C20">
            <w:pPr>
              <w:rPr>
                <w:sz w:val="17"/>
                <w:szCs w:val="17"/>
              </w:rPr>
            </w:pPr>
            <w:r w:rsidRPr="00B96235">
              <w:rPr>
                <w:sz w:val="17"/>
                <w:szCs w:val="17"/>
              </w:rPr>
              <w:t>Чистий прибуток (збиток)</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66,2</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24,7</w:t>
            </w:r>
          </w:p>
        </w:tc>
      </w:tr>
      <w:tr w:rsidR="00F30C44" w:rsidRPr="00B96235" w:rsidTr="00B96235">
        <w:trPr>
          <w:trHeight w:val="51"/>
        </w:trPr>
        <w:tc>
          <w:tcPr>
            <w:tcW w:w="5495" w:type="dxa"/>
            <w:shd w:val="clear" w:color="auto" w:fill="auto"/>
          </w:tcPr>
          <w:p w:rsidR="00F30C44" w:rsidRPr="00B96235" w:rsidRDefault="00F30C44" w:rsidP="00E50C20">
            <w:pPr>
              <w:rPr>
                <w:sz w:val="17"/>
                <w:szCs w:val="17"/>
              </w:rPr>
            </w:pPr>
            <w:r w:rsidRPr="00B96235">
              <w:rPr>
                <w:sz w:val="17"/>
                <w:szCs w:val="17"/>
              </w:rPr>
              <w:t>Середньорічна кількість акцій (шт.)</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345240</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345240</w:t>
            </w:r>
          </w:p>
        </w:tc>
      </w:tr>
      <w:tr w:rsidR="00F30C44" w:rsidRPr="00B96235" w:rsidTr="00B96235">
        <w:trPr>
          <w:trHeight w:val="63"/>
        </w:trPr>
        <w:tc>
          <w:tcPr>
            <w:tcW w:w="5495" w:type="dxa"/>
            <w:shd w:val="clear" w:color="auto" w:fill="auto"/>
          </w:tcPr>
          <w:p w:rsidR="00F30C44" w:rsidRPr="00B96235" w:rsidRDefault="00F30C44" w:rsidP="00E50C20">
            <w:pPr>
              <w:rPr>
                <w:sz w:val="17"/>
                <w:szCs w:val="17"/>
              </w:rPr>
            </w:pPr>
            <w:r w:rsidRPr="00B96235">
              <w:rPr>
                <w:sz w:val="17"/>
                <w:szCs w:val="17"/>
              </w:rPr>
              <w:t>Кількість власних акцій, викуплених протягом періоду (шт.)</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w:t>
            </w:r>
          </w:p>
        </w:tc>
      </w:tr>
      <w:tr w:rsidR="00F30C44" w:rsidRPr="00B96235" w:rsidTr="00B96235">
        <w:trPr>
          <w:trHeight w:val="83"/>
        </w:trPr>
        <w:tc>
          <w:tcPr>
            <w:tcW w:w="5495" w:type="dxa"/>
            <w:shd w:val="clear" w:color="auto" w:fill="auto"/>
          </w:tcPr>
          <w:p w:rsidR="00F30C44" w:rsidRPr="00B96235" w:rsidRDefault="00F30C44" w:rsidP="00E50C20">
            <w:pPr>
              <w:rPr>
                <w:sz w:val="17"/>
                <w:szCs w:val="17"/>
              </w:rPr>
            </w:pPr>
            <w:r w:rsidRPr="00B96235">
              <w:rPr>
                <w:sz w:val="17"/>
                <w:szCs w:val="17"/>
              </w:rPr>
              <w:t>Загальна суму коштів, витрачених на викуп власних акцій протягом  періоду</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w:t>
            </w:r>
          </w:p>
        </w:tc>
      </w:tr>
      <w:tr w:rsidR="00F30C44" w:rsidRPr="00B96235" w:rsidTr="00B96235">
        <w:trPr>
          <w:trHeight w:val="56"/>
        </w:trPr>
        <w:tc>
          <w:tcPr>
            <w:tcW w:w="5495" w:type="dxa"/>
            <w:shd w:val="clear" w:color="auto" w:fill="auto"/>
          </w:tcPr>
          <w:p w:rsidR="00F30C44" w:rsidRPr="00B96235" w:rsidRDefault="00F30C44" w:rsidP="00E50C20">
            <w:pPr>
              <w:rPr>
                <w:sz w:val="17"/>
                <w:szCs w:val="17"/>
              </w:rPr>
            </w:pPr>
            <w:r w:rsidRPr="00B96235">
              <w:rPr>
                <w:sz w:val="17"/>
                <w:szCs w:val="17"/>
              </w:rPr>
              <w:t>Чисельність працівників на кінець звітного періоду (осіб)</w:t>
            </w:r>
          </w:p>
        </w:tc>
        <w:tc>
          <w:tcPr>
            <w:tcW w:w="1417"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33</w:t>
            </w:r>
          </w:p>
        </w:tc>
        <w:tc>
          <w:tcPr>
            <w:tcW w:w="1701" w:type="dxa"/>
            <w:shd w:val="clear" w:color="auto" w:fill="auto"/>
            <w:vAlign w:val="center"/>
          </w:tcPr>
          <w:p w:rsidR="00F30C44" w:rsidRPr="00B96235" w:rsidRDefault="00F30C44" w:rsidP="00E50C20">
            <w:pPr>
              <w:jc w:val="center"/>
              <w:rPr>
                <w:sz w:val="17"/>
                <w:szCs w:val="17"/>
                <w:lang w:val="ru-RU"/>
              </w:rPr>
            </w:pPr>
            <w:r w:rsidRPr="00B96235">
              <w:rPr>
                <w:sz w:val="17"/>
                <w:szCs w:val="17"/>
                <w:lang w:val="ru-RU"/>
              </w:rPr>
              <w:t>36</w:t>
            </w:r>
          </w:p>
        </w:tc>
      </w:tr>
    </w:tbl>
    <w:p w:rsidR="00F30C44" w:rsidRPr="00B96235" w:rsidRDefault="00F30C44" w:rsidP="00F30C44">
      <w:pPr>
        <w:pStyle w:val="1"/>
        <w:shd w:val="clear" w:color="auto" w:fill="FFFFFF"/>
        <w:tabs>
          <w:tab w:val="left" w:pos="284"/>
          <w:tab w:val="left" w:pos="336"/>
          <w:tab w:val="left" w:pos="360"/>
        </w:tabs>
        <w:ind w:firstLine="181"/>
        <w:jc w:val="both"/>
        <w:rPr>
          <w:sz w:val="17"/>
          <w:szCs w:val="17"/>
          <w:lang w:val="uk-UA"/>
        </w:rPr>
      </w:pPr>
    </w:p>
    <w:p w:rsidR="00F30C44" w:rsidRPr="0012756C" w:rsidRDefault="00F30C44" w:rsidP="00F30C44">
      <w:pPr>
        <w:ind w:firstLine="426"/>
        <w:jc w:val="both"/>
        <w:rPr>
          <w:sz w:val="19"/>
          <w:szCs w:val="19"/>
        </w:rPr>
      </w:pPr>
    </w:p>
    <w:p w:rsidR="00F30C44" w:rsidRPr="0012756C"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4B7678" w:rsidP="004B7678">
      <w:pPr>
        <w:tabs>
          <w:tab w:val="left" w:pos="7590"/>
        </w:tabs>
        <w:ind w:firstLine="426"/>
        <w:jc w:val="both"/>
        <w:rPr>
          <w:spacing w:val="-1"/>
          <w:sz w:val="19"/>
          <w:szCs w:val="19"/>
        </w:rPr>
      </w:pPr>
      <w:r>
        <w:rPr>
          <w:spacing w:val="-1"/>
          <w:sz w:val="19"/>
          <w:szCs w:val="19"/>
        </w:rPr>
        <w:tab/>
      </w: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p w:rsidR="00F30C44" w:rsidRDefault="00F30C44" w:rsidP="00F30C44">
      <w:pPr>
        <w:ind w:firstLine="426"/>
        <w:jc w:val="both"/>
        <w:rPr>
          <w:spacing w:val="-1"/>
          <w:sz w:val="19"/>
          <w:szCs w:val="19"/>
        </w:rPr>
      </w:pPr>
    </w:p>
    <w:sectPr w:rsidR="00F30C44" w:rsidSect="00D51D1A">
      <w:pgSz w:w="11906" w:h="16838"/>
      <w:pgMar w:top="454" w:right="79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CC7"/>
    <w:multiLevelType w:val="hybridMultilevel"/>
    <w:tmpl w:val="B3626CE4"/>
    <w:lvl w:ilvl="0" w:tplc="0419000F">
      <w:start w:val="1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0883662"/>
    <w:multiLevelType w:val="hybridMultilevel"/>
    <w:tmpl w:val="3ABA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30C44"/>
    <w:rsid w:val="000815D8"/>
    <w:rsid w:val="00081C1B"/>
    <w:rsid w:val="00115C66"/>
    <w:rsid w:val="001A38A4"/>
    <w:rsid w:val="00261F6E"/>
    <w:rsid w:val="002E118E"/>
    <w:rsid w:val="004B7678"/>
    <w:rsid w:val="0056562D"/>
    <w:rsid w:val="006512BC"/>
    <w:rsid w:val="00754A5E"/>
    <w:rsid w:val="008D0523"/>
    <w:rsid w:val="00B325BE"/>
    <w:rsid w:val="00B96235"/>
    <w:rsid w:val="00C355C9"/>
    <w:rsid w:val="00CF786B"/>
    <w:rsid w:val="00DF5929"/>
    <w:rsid w:val="00E90EFB"/>
    <w:rsid w:val="00F30C44"/>
    <w:rsid w:val="00F97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30C44"/>
    <w:pPr>
      <w:widowControl w:val="0"/>
      <w:spacing w:after="0" w:line="240" w:lineRule="auto"/>
    </w:pPr>
    <w:rPr>
      <w:rFonts w:ascii="Times New Roman" w:eastAsia="Times New Roman" w:hAnsi="Times New Roman" w:cs="Times New Roman"/>
      <w:snapToGrid w:val="0"/>
      <w:sz w:val="20"/>
      <w:szCs w:val="20"/>
      <w:lang w:eastAsia="ru-RU"/>
    </w:rPr>
  </w:style>
  <w:style w:type="paragraph" w:styleId="HTML">
    <w:name w:val="HTML Preformatted"/>
    <w:basedOn w:val="a"/>
    <w:link w:val="HTML0"/>
    <w:unhideWhenUsed/>
    <w:rsid w:val="00F30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rsid w:val="00F30C44"/>
    <w:rPr>
      <w:rFonts w:ascii="Courier New" w:eastAsia="Times New Roman" w:hAnsi="Courier New" w:cs="Courier New"/>
      <w:sz w:val="20"/>
      <w:szCs w:val="20"/>
      <w:lang w:val="uk-UA" w:eastAsia="uk-UA"/>
    </w:rPr>
  </w:style>
  <w:style w:type="paragraph" w:styleId="a3">
    <w:name w:val="List Paragraph"/>
    <w:basedOn w:val="a"/>
    <w:qFormat/>
    <w:rsid w:val="00F30C44"/>
    <w:pPr>
      <w:spacing w:after="200" w:line="276" w:lineRule="auto"/>
      <w:ind w:left="720"/>
      <w:contextualSpacing/>
    </w:pPr>
    <w:rPr>
      <w:rFonts w:ascii="Calibri" w:eastAsia="Calibri" w:hAnsi="Calibri"/>
      <w:sz w:val="22"/>
      <w:szCs w:val="22"/>
      <w:lang w:val="ru-RU" w:eastAsia="en-US"/>
    </w:rPr>
  </w:style>
  <w:style w:type="paragraph" w:styleId="a4">
    <w:name w:val="Normal (Web)"/>
    <w:basedOn w:val="a"/>
    <w:rsid w:val="00F30C44"/>
    <w:pPr>
      <w:spacing w:before="100" w:beforeAutospacing="1" w:after="100" w:afterAutospacing="1"/>
    </w:pPr>
    <w:rPr>
      <w:lang w:val="ru-RU"/>
    </w:rPr>
  </w:style>
  <w:style w:type="paragraph" w:styleId="a5">
    <w:name w:val="No Spacing"/>
    <w:qFormat/>
    <w:rsid w:val="00F30C44"/>
    <w:pPr>
      <w:spacing w:after="0" w:line="240" w:lineRule="auto"/>
      <w:jc w:val="both"/>
    </w:pPr>
    <w:rPr>
      <w:rFonts w:ascii="Calibri" w:eastAsia="Times New Roman" w:hAnsi="Calibri" w:cs="Times New Roman"/>
    </w:rPr>
  </w:style>
  <w:style w:type="character" w:styleId="a6">
    <w:name w:val="Strong"/>
    <w:basedOn w:val="a0"/>
    <w:qFormat/>
    <w:rsid w:val="00E90EFB"/>
    <w:rPr>
      <w:b/>
      <w:bCs/>
    </w:rPr>
  </w:style>
  <w:style w:type="paragraph" w:customStyle="1" w:styleId="a7">
    <w:name w:val="Об"/>
    <w:rsid w:val="00E90EFB"/>
    <w:pPr>
      <w:widowControl w:val="0"/>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77DC7-4624-4D56-B956-E4DE23A7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AlenaAl</dc:creator>
  <cp:lastModifiedBy>AlenaAl</cp:lastModifiedBy>
  <cp:revision>2</cp:revision>
  <cp:lastPrinted>2017-03-24T12:50:00Z</cp:lastPrinted>
  <dcterms:created xsi:type="dcterms:W3CDTF">2017-03-24T13:10:00Z</dcterms:created>
  <dcterms:modified xsi:type="dcterms:W3CDTF">2017-03-24T13:10:00Z</dcterms:modified>
</cp:coreProperties>
</file>